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96C9F" w14:textId="77777777" w:rsidR="00D94795" w:rsidRDefault="007C1887" w:rsidP="0046316A">
      <w:pPr>
        <w:pStyle w:val="Heading1"/>
        <w:rPr>
          <w:smallCaps w:val="0"/>
        </w:rPr>
      </w:pPr>
      <w:r w:rsidRPr="0046316A">
        <w:t>N</w:t>
      </w:r>
      <w:r w:rsidR="002F20A7" w:rsidRPr="0046316A">
        <w:t>ational Quality Forum—</w:t>
      </w:r>
      <w:r w:rsidR="00496AF8" w:rsidRPr="0046316A">
        <w:rPr>
          <w:smallCaps w:val="0"/>
        </w:rPr>
        <w:t>Evidence (</w:t>
      </w:r>
      <w:r w:rsidR="00BE2295" w:rsidRPr="0046316A">
        <w:rPr>
          <w:smallCaps w:val="0"/>
        </w:rPr>
        <w:t>subcrite</w:t>
      </w:r>
      <w:r w:rsidR="00617390" w:rsidRPr="0046316A">
        <w:rPr>
          <w:smallCaps w:val="0"/>
        </w:rPr>
        <w:t>r</w:t>
      </w:r>
      <w:r w:rsidR="00BE2295" w:rsidRPr="0046316A">
        <w:rPr>
          <w:smallCaps w:val="0"/>
        </w:rPr>
        <w:t xml:space="preserve">ion </w:t>
      </w:r>
      <w:r w:rsidR="00496AF8" w:rsidRPr="0046316A">
        <w:rPr>
          <w:smallCaps w:val="0"/>
        </w:rPr>
        <w:t>1</w:t>
      </w:r>
      <w:r w:rsidR="00B117D0" w:rsidRPr="0046316A">
        <w:rPr>
          <w:smallCaps w:val="0"/>
        </w:rPr>
        <w:t>a</w:t>
      </w:r>
      <w:r w:rsidR="00496AF8" w:rsidRPr="0046316A">
        <w:rPr>
          <w:smallCaps w:val="0"/>
        </w:rPr>
        <w:t>)</w:t>
      </w:r>
    </w:p>
    <w:p w14:paraId="23D8E7F4" w14:textId="722E5E85" w:rsidR="0046316A" w:rsidRDefault="0046316A" w:rsidP="0046316A">
      <w:pPr>
        <w:pStyle w:val="IntroInfo"/>
        <w:rPr>
          <w:b/>
        </w:rPr>
      </w:pPr>
      <w:r w:rsidRPr="00503834">
        <w:rPr>
          <w:b/>
        </w:rPr>
        <w:t xml:space="preserve">Measure Number </w:t>
      </w:r>
      <w:r w:rsidRPr="00503834">
        <w:t>(</w:t>
      </w:r>
      <w:r w:rsidRPr="00503834">
        <w:rPr>
          <w:i/>
        </w:rPr>
        <w:t>if previously endorsed</w:t>
      </w:r>
      <w:r w:rsidRPr="00503834">
        <w:t>)</w:t>
      </w:r>
      <w:r w:rsidRPr="00503834">
        <w:rPr>
          <w:b/>
        </w:rPr>
        <w:t xml:space="preserve">: </w:t>
      </w:r>
      <w:sdt>
        <w:sdtPr>
          <w:rPr>
            <w:rStyle w:val="Style1"/>
            <w:color w:val="auto"/>
          </w:rPr>
          <w:id w:val="1128902136"/>
          <w:placeholder>
            <w:docPart w:val="C077BBA76524438382EE557B291DA516"/>
          </w:placeholder>
        </w:sdtPr>
        <w:sdtEndPr>
          <w:rPr>
            <w:rStyle w:val="DefaultParagraphFont"/>
            <w:b/>
          </w:rPr>
        </w:sdtEndPr>
        <w:sdtContent>
          <w:sdt>
            <w:sdtPr>
              <w:rPr>
                <w:rStyle w:val="Style1"/>
                <w:color w:val="auto"/>
              </w:rPr>
              <w:id w:val="67933595"/>
              <w:placeholder>
                <w:docPart w:val="83EAC5B7B7A54DB5966CA7CB36589304"/>
              </w:placeholder>
            </w:sdtPr>
            <w:sdtEndPr>
              <w:rPr>
                <w:rStyle w:val="DefaultParagraphFont"/>
                <w:b/>
              </w:rPr>
            </w:sdtEndPr>
            <w:sdtContent>
              <w:r w:rsidRPr="00503834">
                <w:rPr>
                  <w:rStyle w:val="Style1"/>
                  <w:color w:val="auto"/>
                </w:rPr>
                <w:t>068</w:t>
              </w:r>
              <w:r w:rsidR="00C53B79">
                <w:rPr>
                  <w:rStyle w:val="Style1"/>
                  <w:color w:val="auto"/>
                </w:rPr>
                <w:t>1</w:t>
              </w:r>
            </w:sdtContent>
          </w:sdt>
        </w:sdtContent>
      </w:sdt>
    </w:p>
    <w:p w14:paraId="53474D76" w14:textId="1BDB32F6" w:rsidR="0046316A" w:rsidRDefault="0046316A" w:rsidP="0046316A">
      <w:pPr>
        <w:pStyle w:val="IntroInfo"/>
      </w:pPr>
      <w:r w:rsidRPr="00503834">
        <w:rPr>
          <w:b/>
        </w:rPr>
        <w:t>Measure Title</w:t>
      </w:r>
      <w:r w:rsidRPr="00503834">
        <w:t xml:space="preserve">:  </w:t>
      </w:r>
      <w:sdt>
        <w:sdtPr>
          <w:rPr>
            <w:rStyle w:val="Style1"/>
            <w:color w:val="auto"/>
          </w:rPr>
          <w:id w:val="1855616730"/>
          <w:placeholder>
            <w:docPart w:val="2D1D908348604B43AD597392DEBB276A"/>
          </w:placeholder>
        </w:sdtPr>
        <w:sdtEndPr>
          <w:rPr>
            <w:rStyle w:val="DefaultParagraphFont"/>
          </w:rPr>
        </w:sdtEndPr>
        <w:sdtContent>
          <w:sdt>
            <w:sdtPr>
              <w:rPr>
                <w:rStyle w:val="Style1"/>
                <w:color w:val="auto"/>
              </w:rPr>
              <w:id w:val="145479832"/>
              <w:placeholder>
                <w:docPart w:val="9F28B622004547558A40C3FA00E2A482"/>
              </w:placeholder>
            </w:sdtPr>
            <w:sdtEndPr>
              <w:rPr>
                <w:rStyle w:val="DefaultParagraphFont"/>
              </w:rPr>
            </w:sdtEndPr>
            <w:sdtContent>
              <w:r w:rsidRPr="00503834">
                <w:rPr>
                  <w:rStyle w:val="Style1"/>
                  <w:color w:val="auto"/>
                </w:rPr>
                <w:t xml:space="preserve">Percent of Residents </w:t>
              </w:r>
              <w:r w:rsidR="00CA5C0B">
                <w:rPr>
                  <w:rStyle w:val="Style1"/>
                  <w:color w:val="auto"/>
                </w:rPr>
                <w:t xml:space="preserve">Who Were </w:t>
              </w:r>
              <w:r w:rsidRPr="00503834">
                <w:rPr>
                  <w:rStyle w:val="Style1"/>
                  <w:color w:val="auto"/>
                </w:rPr>
                <w:t>Assessed and Appropriately Given the Seasonal Influenza Vaccine (</w:t>
              </w:r>
              <w:r w:rsidR="00C53B79">
                <w:rPr>
                  <w:rStyle w:val="Style1"/>
                  <w:color w:val="auto"/>
                </w:rPr>
                <w:t>Long</w:t>
              </w:r>
              <w:r w:rsidRPr="00503834">
                <w:rPr>
                  <w:rStyle w:val="Style1"/>
                  <w:color w:val="auto"/>
                </w:rPr>
                <w:t>-Stay)</w:t>
              </w:r>
            </w:sdtContent>
          </w:sdt>
        </w:sdtContent>
      </w:sdt>
    </w:p>
    <w:p w14:paraId="71738F31" w14:textId="77777777" w:rsidR="0046316A" w:rsidRDefault="0046316A" w:rsidP="0046316A">
      <w:pPr>
        <w:pStyle w:val="IntroInfo"/>
        <w:rPr>
          <w:rStyle w:val="Style1"/>
          <w:color w:val="auto"/>
        </w:rPr>
      </w:pPr>
      <w:r w:rsidRPr="00503834">
        <w:rPr>
          <w:b/>
        </w:rPr>
        <w:t>IF the measure is a component in a composite performance measure, provide the title of the Composite Measure here:</w:t>
      </w:r>
      <w:r w:rsidRPr="00503834">
        <w:t xml:space="preserve"> </w:t>
      </w:r>
      <w:sdt>
        <w:sdtPr>
          <w:rPr>
            <w:rStyle w:val="Style1"/>
            <w:color w:val="auto"/>
          </w:rPr>
          <w:id w:val="-151142053"/>
          <w:placeholder>
            <w:docPart w:val="6EC6C65BA8EC4342B7CD4BFC7CB1EDCF"/>
          </w:placeholder>
          <w:showingPlcHdr/>
        </w:sdtPr>
        <w:sdtEndPr>
          <w:rPr>
            <w:rStyle w:val="DefaultParagraphFont"/>
          </w:rPr>
        </w:sdtEndPr>
        <w:sdtContent>
          <w:r w:rsidRPr="00503834">
            <w:rPr>
              <w:rStyle w:val="PlaceholderText"/>
              <w:color w:val="auto"/>
            </w:rPr>
            <w:t>Click here to enter composite measure #/ title</w:t>
          </w:r>
        </w:sdtContent>
      </w:sdt>
    </w:p>
    <w:p w14:paraId="79493725" w14:textId="77777777" w:rsidR="0046316A" w:rsidRPr="0046316A" w:rsidRDefault="0046316A" w:rsidP="0046316A">
      <w:pPr>
        <w:pStyle w:val="IntroInfo"/>
      </w:pPr>
      <w:r w:rsidRPr="00503834">
        <w:rPr>
          <w:b/>
        </w:rPr>
        <w:t>Date of Submission</w:t>
      </w:r>
      <w:r w:rsidRPr="00503834">
        <w:t xml:space="preserve">:  </w:t>
      </w:r>
      <w:sdt>
        <w:sdtPr>
          <w:rPr>
            <w:rStyle w:val="Style2"/>
            <w:color w:val="auto"/>
          </w:rPr>
          <w:id w:val="916512315"/>
          <w:placeholder>
            <w:docPart w:val="BD4332B9F59641C7BA4D08DAF3DBA8BA"/>
          </w:placeholder>
          <w:showingPlcHdr/>
          <w:date>
            <w:dateFormat w:val="M/d/yyyy"/>
            <w:lid w:val="en-US"/>
            <w:storeMappedDataAs w:val="dateTime"/>
            <w:calendar w:val="gregorian"/>
          </w:date>
        </w:sdtPr>
        <w:sdtEndPr>
          <w:rPr>
            <w:rStyle w:val="DefaultParagraphFont"/>
            <w:u w:val="none"/>
          </w:rPr>
        </w:sdtEndPr>
        <w:sdtContent>
          <w:r w:rsidRPr="00503834">
            <w:rPr>
              <w:rStyle w:val="PlaceholderText"/>
              <w:color w:val="auto"/>
            </w:rPr>
            <w:t>Click here to enter a date</w:t>
          </w:r>
        </w:sdtContent>
      </w:sdt>
    </w:p>
    <w:tbl>
      <w:tblPr>
        <w:tblStyle w:val="TableGrid"/>
        <w:tblW w:w="5500" w:type="pct"/>
        <w:jc w:val="center"/>
        <w:tblLook w:val="04A0" w:firstRow="1" w:lastRow="0" w:firstColumn="1" w:lastColumn="0" w:noHBand="0" w:noVBand="1"/>
      </w:tblPr>
      <w:tblGrid>
        <w:gridCol w:w="10285"/>
      </w:tblGrid>
      <w:tr w:rsidR="00496AF8" w:rsidRPr="003B1CC5" w14:paraId="719F1227" w14:textId="77777777" w:rsidTr="0046316A">
        <w:trPr>
          <w:jc w:val="center"/>
        </w:trPr>
        <w:tc>
          <w:tcPr>
            <w:tcW w:w="10285" w:type="dxa"/>
          </w:tcPr>
          <w:p w14:paraId="08D57976" w14:textId="77777777" w:rsidR="00114848" w:rsidRPr="00D94795" w:rsidRDefault="00114848" w:rsidP="00D94795">
            <w:pPr>
              <w:rPr>
                <w:b/>
                <w:i/>
              </w:rPr>
            </w:pPr>
            <w:r w:rsidRPr="00D94795">
              <w:rPr>
                <w:b/>
                <w:noProof/>
              </w:rPr>
              <w:t>Instructions</w:t>
            </w:r>
          </w:p>
          <w:p w14:paraId="00A15074" w14:textId="77777777" w:rsidR="00D94795" w:rsidRDefault="00024526" w:rsidP="0046316A">
            <w:pPr>
              <w:pStyle w:val="Bullet11"/>
              <w:rPr>
                <w:i/>
              </w:rPr>
            </w:pPr>
            <w:r w:rsidRPr="003B1CC5">
              <w:rPr>
                <w:i/>
              </w:rPr>
              <w:t>For composite performance measures:</w:t>
            </w:r>
          </w:p>
          <w:p w14:paraId="4798288A" w14:textId="77777777" w:rsidR="00024526" w:rsidRPr="003B1CC5" w:rsidRDefault="00024526" w:rsidP="0046316A">
            <w:pPr>
              <w:pStyle w:val="Bullet2nd"/>
            </w:pPr>
            <w:r w:rsidRPr="003B1CC5">
              <w:t>A separate evidence form is required for each component measure unless several components were studied together.</w:t>
            </w:r>
          </w:p>
          <w:p w14:paraId="33580B07" w14:textId="77777777" w:rsidR="00024526" w:rsidRPr="003B1CC5" w:rsidRDefault="00024526" w:rsidP="0046316A">
            <w:pPr>
              <w:pStyle w:val="Bullet2nd"/>
            </w:pPr>
            <w:r w:rsidRPr="003B1CC5">
              <w:t>If a component measure is submitted as an individual performance measure, attach the evidence form to the individual measure submission.</w:t>
            </w:r>
          </w:p>
          <w:p w14:paraId="53ABE921" w14:textId="0139CADA" w:rsidR="002F20A7" w:rsidRPr="003B1CC5" w:rsidRDefault="002F20A7" w:rsidP="0046316A">
            <w:pPr>
              <w:pStyle w:val="Bullet11"/>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w:t>
            </w:r>
            <w:r w:rsidR="00FD6C7C">
              <w:t xml:space="preserve"> </w:t>
            </w:r>
            <w:r w:rsidR="008B652E" w:rsidRPr="003B1CC5">
              <w:t xml:space="preserve">An appendix of </w:t>
            </w:r>
            <w:r w:rsidR="008B652E" w:rsidRPr="003B1CC5">
              <w:rPr>
                <w:i/>
              </w:rPr>
              <w:t>supplemental</w:t>
            </w:r>
            <w:r w:rsidR="008B652E" w:rsidRPr="003B1CC5">
              <w:t xml:space="preserve"> materials may be submitted, but there is no guarantee it will be reviewed.</w:t>
            </w:r>
          </w:p>
          <w:p w14:paraId="051B6BD0" w14:textId="77777777" w:rsidR="0015535B" w:rsidRPr="003B1CC5" w:rsidRDefault="0015535B" w:rsidP="0046316A">
            <w:pPr>
              <w:pStyle w:val="Bullet11"/>
            </w:pPr>
            <w:r w:rsidRPr="003B1CC5">
              <w:t>If yo</w:t>
            </w:r>
            <w:r w:rsidR="008B652E" w:rsidRPr="003B1CC5">
              <w:t>u are unable to check a</w:t>
            </w:r>
            <w:r w:rsidR="00114848" w:rsidRPr="003B1CC5">
              <w:t xml:space="preserve"> box, please highlight or </w:t>
            </w:r>
            <w:r w:rsidRPr="003B1CC5">
              <w:t>shade the box for your response.</w:t>
            </w:r>
          </w:p>
          <w:p w14:paraId="0803AF5B" w14:textId="77777777" w:rsidR="00496AF8" w:rsidRPr="003B1CC5" w:rsidRDefault="002F20A7" w:rsidP="0046316A">
            <w:pPr>
              <w:pStyle w:val="Bullet11"/>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106AF0A8" w14:textId="77777777" w:rsidR="00496AF8" w:rsidRPr="003B1CC5" w:rsidRDefault="00457E46" w:rsidP="0046316A">
            <w:pPr>
              <w:pStyle w:val="Bullet11"/>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7E885A0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31A33FE6" w14:textId="77777777" w:rsidTr="00176E60">
        <w:trPr>
          <w:jc w:val="center"/>
        </w:trPr>
        <w:tc>
          <w:tcPr>
            <w:tcW w:w="9576" w:type="dxa"/>
          </w:tcPr>
          <w:p w14:paraId="4FF3968A"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4EE302AD" w14:textId="77777777" w:rsidR="008659ED" w:rsidRPr="003B1CC5" w:rsidRDefault="008659ED" w:rsidP="008659ED">
            <w:pPr>
              <w:ind w:left="90" w:hanging="90"/>
              <w:rPr>
                <w:sz w:val="20"/>
                <w:szCs w:val="20"/>
              </w:rPr>
            </w:pPr>
            <w:bookmarkStart w:id="0" w:name="Note2"/>
            <w:bookmarkEnd w:id="0"/>
          </w:p>
          <w:p w14:paraId="75EA78D1" w14:textId="77777777" w:rsidR="00D94795" w:rsidRDefault="008659ED" w:rsidP="00D94795">
            <w:pPr>
              <w:pStyle w:val="Heading3"/>
            </w:pPr>
            <w:r w:rsidRPr="003B1CC5">
              <w:t>1a. Evidence to Support the Measure Focus</w:t>
            </w:r>
          </w:p>
          <w:p w14:paraId="3F29DF30" w14:textId="77777777" w:rsidR="00D94795" w:rsidRDefault="008659ED" w:rsidP="008659ED">
            <w:pPr>
              <w:rPr>
                <w:rFonts w:eastAsia="Calibri" w:cs="Calibri"/>
                <w:sz w:val="20"/>
                <w:szCs w:val="20"/>
              </w:rPr>
            </w:pPr>
            <w:r w:rsidRPr="003B1CC5">
              <w:rPr>
                <w:rFonts w:eastAsia="Calibri" w:cs="Calibri"/>
                <w:sz w:val="20"/>
                <w:szCs w:val="20"/>
              </w:rPr>
              <w:t>The measure focus is evidence-based, demonstrated as follows:</w:t>
            </w:r>
          </w:p>
          <w:p w14:paraId="4464189E" w14:textId="77777777" w:rsidR="008659ED" w:rsidRPr="003B1CC5" w:rsidRDefault="008659ED" w:rsidP="00D94795">
            <w:pPr>
              <w:pStyle w:val="Bullet10"/>
            </w:pPr>
            <w:r w:rsidRPr="003B1CC5">
              <w:rPr>
                <w:u w:val="single"/>
              </w:rPr>
              <w:t xml:space="preserve">Health </w:t>
            </w:r>
            <w:r w:rsidRPr="003B1CC5">
              <w:t>outcome</w:t>
            </w:r>
            <w:r w:rsidR="00CB1E41" w:rsidRPr="003B1CC5">
              <w:rPr>
                <w:color w:val="0000FF"/>
              </w:rPr>
              <w:t xml:space="preserve">: </w:t>
            </w:r>
            <w:hyperlink w:anchor="Note3" w:history="1">
              <w:r w:rsidR="00CB1E41" w:rsidRPr="003B1CC5">
                <w:rPr>
                  <w:rStyle w:val="Hyperlink"/>
                  <w:b/>
                  <w:vertAlign w:val="superscript"/>
                </w:rPr>
                <w:t>3</w:t>
              </w:r>
            </w:hyperlink>
            <w:r w:rsidR="00CB1E41" w:rsidRPr="003B1CC5">
              <w:rPr>
                <w:color w:val="0000FF"/>
              </w:rPr>
              <w:t xml:space="preserve"> </w:t>
            </w:r>
            <w:r w:rsidRPr="003B1CC5">
              <w:t>a rationale supports the relationship of the health outcome to processes or structures of care. Applies to p</w:t>
            </w:r>
            <w:r w:rsidRPr="00A03301">
              <w:t>atient</w:t>
            </w:r>
            <w:r w:rsidRPr="003B1CC5">
              <w:t>-reported outcomes (PRO), including health-related quality of life/functional status, symptom/symptom burden, experience with care, health-related behavior.</w:t>
            </w:r>
          </w:p>
          <w:p w14:paraId="4F11399E" w14:textId="77777777" w:rsidR="008659ED" w:rsidRPr="003B1CC5" w:rsidRDefault="008659ED" w:rsidP="00D94795">
            <w:pPr>
              <w:pStyle w:val="Bullet10"/>
            </w:pPr>
            <w:r w:rsidRPr="003B1CC5">
              <w:rPr>
                <w:u w:val="single"/>
              </w:rPr>
              <w:t>Intermediate clinical outcome</w:t>
            </w:r>
            <w:r w:rsidRPr="003B1CC5">
              <w:t xml:space="preserve">: a systematic assessment and grading of the quantity, quality, and consistency of the body of evidence </w:t>
            </w:r>
            <w:hyperlink w:anchor="Note4" w:history="1">
              <w:r w:rsidRPr="003B1CC5">
                <w:rPr>
                  <w:rStyle w:val="Hyperlink"/>
                  <w:b/>
                  <w:vertAlign w:val="superscript"/>
                </w:rPr>
                <w:t>4</w:t>
              </w:r>
            </w:hyperlink>
            <w:r w:rsidRPr="003B1CC5">
              <w:rPr>
                <w:b/>
                <w:vertAlign w:val="superscript"/>
              </w:rPr>
              <w:t xml:space="preserve"> </w:t>
            </w:r>
            <w:r w:rsidRPr="003B1CC5">
              <w:rPr>
                <w:bCs/>
              </w:rPr>
              <w:t>that the measured intermediate clinical outcome leads to a desired health outcome.</w:t>
            </w:r>
          </w:p>
          <w:p w14:paraId="62DC4288" w14:textId="77777777" w:rsidR="008659ED" w:rsidRPr="003B1CC5" w:rsidRDefault="008659ED" w:rsidP="00D94795">
            <w:pPr>
              <w:pStyle w:val="Bullet10"/>
            </w:pPr>
            <w:r w:rsidRPr="003B1CC5">
              <w:rPr>
                <w:u w:val="single"/>
              </w:rPr>
              <w:t>Process</w:t>
            </w:r>
            <w:r w:rsidRPr="003B1CC5">
              <w:t xml:space="preserve">: </w:t>
            </w:r>
            <w:hyperlink w:anchor="Note5" w:history="1">
              <w:r w:rsidRPr="003B1CC5">
                <w:rPr>
                  <w:rStyle w:val="Hyperlink"/>
                  <w:b/>
                  <w:vertAlign w:val="superscript"/>
                </w:rPr>
                <w:t>5</w:t>
              </w:r>
            </w:hyperlink>
            <w:r w:rsidRPr="003B1CC5">
              <w:t xml:space="preserve"> a systematic assessment and grading of the quantity, quality, and consistency of the body of evidence </w:t>
            </w:r>
            <w:hyperlink w:anchor="Note4" w:history="1">
              <w:r w:rsidR="00CB1E41" w:rsidRPr="003B1CC5">
                <w:rPr>
                  <w:rStyle w:val="Hyperlink"/>
                  <w:b/>
                  <w:vertAlign w:val="superscript"/>
                </w:rPr>
                <w:t>4</w:t>
              </w:r>
            </w:hyperlink>
            <w:r w:rsidRPr="003B1CC5">
              <w:rPr>
                <w:bCs/>
              </w:rPr>
              <w:t xml:space="preserve"> that the measured process leads to a desired health outcome.</w:t>
            </w:r>
          </w:p>
          <w:p w14:paraId="36F136F8" w14:textId="0B11EF71" w:rsidR="008659ED" w:rsidRPr="003B1CC5" w:rsidRDefault="008659ED" w:rsidP="00D94795">
            <w:pPr>
              <w:pStyle w:val="Bullet10"/>
            </w:pPr>
            <w:r w:rsidRPr="003B1CC5">
              <w:rPr>
                <w:u w:val="single"/>
              </w:rPr>
              <w:t>Structure</w:t>
            </w:r>
            <w:r w:rsidRPr="003B1CC5">
              <w:t xml:space="preserve">: a systematic assessment and grading of the quantity, quality, and consistency of the body of evidence </w:t>
            </w:r>
            <w:hyperlink w:anchor="Note4" w:history="1">
              <w:r w:rsidR="00CB1E41" w:rsidRPr="003B1CC5">
                <w:rPr>
                  <w:rStyle w:val="Hyperlink"/>
                  <w:b/>
                  <w:vertAlign w:val="superscript"/>
                </w:rPr>
                <w:t>4</w:t>
              </w:r>
            </w:hyperlink>
            <w:r w:rsidR="00FD6C7C">
              <w:rPr>
                <w:b/>
                <w:vertAlign w:val="superscript"/>
              </w:rPr>
              <w:t xml:space="preserve"> </w:t>
            </w:r>
            <w:r w:rsidRPr="003B1CC5">
              <w:rPr>
                <w:bCs/>
              </w:rPr>
              <w:t>that the measured structure leads to a desired health outcome.</w:t>
            </w:r>
          </w:p>
          <w:p w14:paraId="5ED6A095" w14:textId="77777777" w:rsidR="008659ED" w:rsidRPr="003B1CC5" w:rsidRDefault="008659ED" w:rsidP="00D94795">
            <w:pPr>
              <w:pStyle w:val="Bullet10"/>
            </w:pPr>
            <w:r w:rsidRPr="003B1CC5">
              <w:rPr>
                <w:u w:val="single"/>
              </w:rPr>
              <w:t>Efficiency</w:t>
            </w:r>
            <w:r w:rsidR="00E536D3" w:rsidRPr="003B1CC5">
              <w:t xml:space="preserve">: </w:t>
            </w:r>
            <w:hyperlink w:anchor="Note6" w:history="1">
              <w:r w:rsidR="00E536D3" w:rsidRPr="003B1CC5">
                <w:rPr>
                  <w:rStyle w:val="Hyperlink"/>
                  <w:b/>
                  <w:vertAlign w:val="superscript"/>
                </w:rPr>
                <w:t>6</w:t>
              </w:r>
            </w:hyperlink>
            <w:r w:rsidR="00E536D3" w:rsidRPr="003B1CC5">
              <w:t xml:space="preserve"> </w:t>
            </w:r>
            <w:r w:rsidRPr="003B1CC5">
              <w:t>evidence not required for the resource use component.</w:t>
            </w:r>
          </w:p>
          <w:p w14:paraId="6ADB61D2"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7D44B27E" w14:textId="77777777" w:rsidR="00D94795" w:rsidRDefault="008659ED" w:rsidP="00D94795">
            <w:pPr>
              <w:pStyle w:val="Notes"/>
            </w:pPr>
            <w:bookmarkStart w:id="1" w:name="Note3"/>
            <w:bookmarkEnd w:id="1"/>
            <w:r w:rsidRPr="003B1CC5">
              <w:rPr>
                <w:b/>
              </w:rPr>
              <w:t>3.</w:t>
            </w:r>
            <w:r w:rsidRPr="003B1CC5">
              <w:t xml:space="preserve"> Generally, rare event outcomes do not provide adequate information for improvement or discrimination; however, serious reportable events that are compared to zero are appropriate outcomes for public reporting and quality improvement.</w:t>
            </w:r>
          </w:p>
          <w:p w14:paraId="4F8079B1" w14:textId="77777777" w:rsidR="008659ED" w:rsidRPr="003B1CC5" w:rsidRDefault="008659ED" w:rsidP="00D94795">
            <w:pPr>
              <w:pStyle w:val="Notes"/>
            </w:pPr>
            <w:bookmarkStart w:id="2" w:name="Note4"/>
            <w:bookmarkEnd w:id="2"/>
            <w:r w:rsidRPr="003B1CC5">
              <w:rPr>
                <w:b/>
              </w:rPr>
              <w:t>4.</w:t>
            </w:r>
            <w:r w:rsidRPr="003B1CC5">
              <w:t xml:space="preserve"> The preferred systems for grading the evidence are the U.S. Preventive Services Task Force (USPSTF) </w:t>
            </w:r>
            <w:hyperlink r:id="rId12" w:history="1">
              <w:r w:rsidRPr="003B1CC5">
                <w:rPr>
                  <w:color w:val="0000FF"/>
                  <w:u w:val="single"/>
                </w:rPr>
                <w:t>grading definitions</w:t>
              </w:r>
            </w:hyperlink>
            <w:r w:rsidRPr="003B1CC5">
              <w:t xml:space="preserve"> and </w:t>
            </w:r>
            <w:hyperlink r:id="rId13" w:history="1">
              <w:r w:rsidRPr="003B1CC5">
                <w:rPr>
                  <w:color w:val="0000FF"/>
                  <w:u w:val="single"/>
                </w:rPr>
                <w:t>methods</w:t>
              </w:r>
            </w:hyperlink>
            <w:r w:rsidRPr="003B1CC5">
              <w:t xml:space="preserve">, or Grading of Recommendations, Assessment, Development and Evaluation </w:t>
            </w:r>
            <w:hyperlink r:id="rId14" w:history="1">
              <w:r w:rsidRPr="003B1CC5">
                <w:rPr>
                  <w:color w:val="0000FF"/>
                  <w:u w:val="single"/>
                </w:rPr>
                <w:t>(GRADE) guidelines</w:t>
              </w:r>
            </w:hyperlink>
            <w:r w:rsidRPr="003B1CC5">
              <w:t>.</w:t>
            </w:r>
          </w:p>
          <w:p w14:paraId="0EC96720" w14:textId="77777777" w:rsidR="008659ED" w:rsidRPr="003B1CC5" w:rsidRDefault="008659ED" w:rsidP="00D94795">
            <w:pPr>
              <w:pStyle w:val="Notes"/>
            </w:pPr>
            <w:bookmarkStart w:id="3" w:name="Note5"/>
            <w:bookmarkEnd w:id="3"/>
            <w:r w:rsidRPr="003B1CC5">
              <w:rPr>
                <w:b/>
              </w:rPr>
              <w:t>5.</w:t>
            </w:r>
            <w:r w:rsidRPr="003B1CC5">
              <w:t xml:space="preserve"> Clinical care processes typically include multiple steps: assess </w:t>
            </w:r>
            <w:r w:rsidRPr="003B1CC5">
              <w:sym w:font="Symbol" w:char="F0AE"/>
            </w:r>
            <w:r w:rsidRPr="003B1CC5">
              <w:t xml:space="preserve"> identify problem/potential problem </w:t>
            </w:r>
            <w:r w:rsidRPr="003B1CC5">
              <w:sym w:font="Symbol" w:char="F0AE"/>
            </w:r>
            <w:r w:rsidRPr="003B1CC5">
              <w:t xml:space="preserve"> choose/plan intervention (with patient input) </w:t>
            </w:r>
            <w:r w:rsidRPr="003B1CC5">
              <w:sym w:font="Symbol" w:char="F0AE"/>
            </w:r>
            <w:r w:rsidRPr="003B1CC5">
              <w:t xml:space="preserve"> provide intervention </w:t>
            </w:r>
            <w:r w:rsidRPr="003B1CC5">
              <w:sym w:font="Symbol" w:char="F0AE"/>
            </w:r>
            <w:r w:rsidRPr="003B1CC5">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F85F8B6" w14:textId="77777777" w:rsidR="008659ED" w:rsidRPr="003B1CC5" w:rsidRDefault="008659ED" w:rsidP="00D94795">
            <w:pPr>
              <w:pStyle w:val="Notes"/>
            </w:pPr>
            <w:bookmarkStart w:id="4" w:name="Note6"/>
            <w:bookmarkEnd w:id="4"/>
            <w:r w:rsidRPr="003B1CC5">
              <w:rPr>
                <w:b/>
              </w:rPr>
              <w:t xml:space="preserve">6. </w:t>
            </w:r>
            <w:r w:rsidRPr="003B1CC5">
              <w:t xml:space="preserve">Measures of efficiency combine the concepts of resource use </w:t>
            </w:r>
            <w:r w:rsidRPr="003B1CC5">
              <w:rPr>
                <w:u w:val="single"/>
              </w:rPr>
              <w:t>and</w:t>
            </w:r>
            <w:r w:rsidRPr="003B1CC5">
              <w:t xml:space="preserve"> quality (see NQF’s </w:t>
            </w:r>
            <w:hyperlink r:id="rId15" w:history="1">
              <w:r w:rsidRPr="003B1CC5">
                <w:rPr>
                  <w:color w:val="0000FF"/>
                  <w:u w:val="single"/>
                </w:rPr>
                <w:t>Measurement Framework: Evaluating Efficiency Across Episodes of Care</w:t>
              </w:r>
            </w:hyperlink>
            <w:r w:rsidRPr="003B1CC5">
              <w:t xml:space="preserve">; </w:t>
            </w:r>
            <w:hyperlink r:id="rId16" w:history="1">
              <w:r w:rsidRPr="003B1CC5">
                <w:rPr>
                  <w:color w:val="0000FF"/>
                  <w:u w:val="single"/>
                </w:rPr>
                <w:t>AQA Principles of Efficiency Measures</w:t>
              </w:r>
            </w:hyperlink>
            <w:r w:rsidRPr="003B1CC5">
              <w:t>).</w:t>
            </w:r>
          </w:p>
        </w:tc>
      </w:tr>
    </w:tbl>
    <w:p w14:paraId="5ED735F7" w14:textId="77777777" w:rsidR="00D94795" w:rsidRDefault="00496AF8" w:rsidP="00D94795">
      <w:pPr>
        <w:pStyle w:val="Question"/>
      </w:pPr>
      <w:r w:rsidRPr="003B1CC5">
        <w:rPr>
          <w:color w:val="0000FF"/>
        </w:rPr>
        <w:lastRenderedPageBreak/>
        <w:t>1</w:t>
      </w:r>
      <w:r w:rsidR="00773485" w:rsidRPr="003B1CC5">
        <w:rPr>
          <w:color w:val="0000FF"/>
        </w:rPr>
        <w:t>a</w:t>
      </w:r>
      <w:r w:rsidRPr="003B1CC5">
        <w:rPr>
          <w:color w:val="0000FF"/>
        </w:rPr>
        <w:t>.1.</w:t>
      </w:r>
      <w:r w:rsidRPr="003B1CC5">
        <w:t>This is a measure of:</w:t>
      </w:r>
      <w:r w:rsidR="00A67EB1" w:rsidRPr="003B1CC5">
        <w:t xml:space="preserve"> </w:t>
      </w:r>
      <w:r w:rsidR="00A67EB1" w:rsidRPr="00D94795">
        <w:rPr>
          <w:b w:val="0"/>
          <w:i/>
        </w:rPr>
        <w:t xml:space="preserve">(should be consistent with type </w:t>
      </w:r>
      <w:r w:rsidR="00CB1E41" w:rsidRPr="00D94795">
        <w:rPr>
          <w:b w:val="0"/>
          <w:i/>
        </w:rPr>
        <w:t xml:space="preserve">of measure </w:t>
      </w:r>
      <w:r w:rsidR="00A67EB1" w:rsidRPr="00D94795">
        <w:rPr>
          <w:b w:val="0"/>
          <w:i/>
        </w:rPr>
        <w:t>entered in De.1)</w:t>
      </w:r>
    </w:p>
    <w:p w14:paraId="013E35A7"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4A9CF0E1" w14:textId="77777777" w:rsidR="00496AF8" w:rsidRPr="003B1CC5" w:rsidRDefault="00DE7CFC"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E7B3B4E5F5AF424D88E13337C25704CD"/>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01D1BDD6" w14:textId="77777777" w:rsidR="00236F87" w:rsidRPr="003B1CC5" w:rsidRDefault="00DE7CFC"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6A9390277D7A42B4BE885E270F4FD26A"/>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666C6E5E"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68D2EBC2" w14:textId="77777777" w:rsidR="00496AF8" w:rsidRPr="003B1CC5" w:rsidRDefault="00DE7CFC"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placeholder>
            <w:docPart w:val="D6261DBE471B4D46AA81461BC2A156A0"/>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7EAB59A0" w14:textId="3BA76C43" w:rsidR="00496AF8" w:rsidRPr="003B1CC5" w:rsidRDefault="00DE7CFC"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164DC8">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placeholder>
            <w:docPart w:val="ED5A44BC71CF47C1A6F9C83DBCAA41F5"/>
          </w:placeholder>
        </w:sdtPr>
        <w:sdtEndPr>
          <w:rPr>
            <w:rStyle w:val="DefaultParagraphFont"/>
            <w:rFonts w:cstheme="minorBidi"/>
            <w:bCs/>
            <w:color w:val="auto"/>
            <w:u w:val="none"/>
          </w:rPr>
        </w:sdtEndPr>
        <w:sdtContent>
          <w:sdt>
            <w:sdtPr>
              <w:rPr>
                <w:rStyle w:val="Style2"/>
                <w:color w:val="auto"/>
              </w:rPr>
              <w:id w:val="521514020"/>
              <w:placeholder>
                <w:docPart w:val="312F615A75C84087A7A5948FF59690E0"/>
              </w:placeholder>
            </w:sdtPr>
            <w:sdtEndPr>
              <w:rPr>
                <w:rStyle w:val="DefaultParagraphFont"/>
                <w:bCs/>
                <w:u w:val="none"/>
              </w:rPr>
            </w:sdtEndPr>
            <w:sdtContent>
              <w:r w:rsidR="00164DC8" w:rsidRPr="0051304C">
                <w:rPr>
                  <w:rStyle w:val="Style1"/>
                  <w:color w:val="auto"/>
                </w:rPr>
                <w:t>Seasonal Influenza Vaccine (</w:t>
              </w:r>
              <w:r w:rsidR="006B497B">
                <w:rPr>
                  <w:rStyle w:val="Style1"/>
                  <w:color w:val="auto"/>
                </w:rPr>
                <w:t>Long</w:t>
              </w:r>
              <w:r w:rsidR="00164DC8" w:rsidRPr="0051304C">
                <w:rPr>
                  <w:rStyle w:val="Style1"/>
                  <w:color w:val="auto"/>
                </w:rPr>
                <w:t>-Stay)</w:t>
              </w:r>
            </w:sdtContent>
          </w:sdt>
        </w:sdtContent>
      </w:sdt>
    </w:p>
    <w:p w14:paraId="0E9A3B66" w14:textId="77777777" w:rsidR="00496AF8" w:rsidRPr="003B1CC5" w:rsidRDefault="00DE7CFC"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4DE57DAA" w14:textId="77777777" w:rsidR="00496AF8" w:rsidRPr="003B1CC5" w:rsidRDefault="00DE7CFC" w:rsidP="00015304">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7812B2C7" w14:textId="77777777" w:rsidR="00850C35" w:rsidRPr="00D94795" w:rsidRDefault="00925F11" w:rsidP="00D94795">
      <w:pPr>
        <w:pStyle w:val="LineDivider"/>
      </w:pPr>
      <w:r w:rsidRPr="00D94795">
        <w:t>_________________________</w:t>
      </w:r>
    </w:p>
    <w:p w14:paraId="00617C33" w14:textId="77777777" w:rsidR="00496AF8" w:rsidRPr="00164DC8" w:rsidRDefault="00496AF8" w:rsidP="00D94795">
      <w:pPr>
        <w:pStyle w:val="Heading2"/>
        <w:rPr>
          <w:b w:val="0"/>
          <w:i/>
        </w:rPr>
      </w:pPr>
      <w:r w:rsidRPr="00164DC8">
        <w:t>HEALTH OUTCOME</w:t>
      </w:r>
      <w:r w:rsidR="00236F87" w:rsidRPr="00164DC8">
        <w:t>/PRO</w:t>
      </w:r>
      <w:r w:rsidRPr="00164DC8">
        <w:t xml:space="preserve"> </w:t>
      </w:r>
      <w:r w:rsidR="005857F8" w:rsidRPr="00164DC8">
        <w:t xml:space="preserve">PERFORMANCE </w:t>
      </w:r>
      <w:r w:rsidRPr="00164DC8">
        <w:t xml:space="preserve">MEASURE </w:t>
      </w:r>
      <w:r w:rsidRPr="00164DC8">
        <w:rPr>
          <w:b w:val="0"/>
        </w:rPr>
        <w:t xml:space="preserve"> </w:t>
      </w:r>
      <w:r w:rsidRPr="00164DC8">
        <w:rPr>
          <w:b w:val="0"/>
          <w:i/>
        </w:rPr>
        <w:t xml:space="preserve">If not </w:t>
      </w:r>
      <w:r w:rsidR="00132070" w:rsidRPr="00164DC8">
        <w:rPr>
          <w:b w:val="0"/>
          <w:i/>
        </w:rPr>
        <w:t>a health outcome</w:t>
      </w:r>
      <w:r w:rsidR="00AC1E53" w:rsidRPr="00164DC8">
        <w:rPr>
          <w:b w:val="0"/>
          <w:i/>
        </w:rPr>
        <w:t xml:space="preserve"> or PRO</w:t>
      </w:r>
      <w:r w:rsidR="00132070" w:rsidRPr="00164DC8">
        <w:rPr>
          <w:b w:val="0"/>
          <w:i/>
        </w:rPr>
        <w:t xml:space="preserve">, skip to </w:t>
      </w:r>
      <w:hyperlink w:anchor="Section1a3" w:history="1">
        <w:r w:rsidR="00132070" w:rsidRPr="00164DC8">
          <w:rPr>
            <w:rStyle w:val="Hyperlink"/>
            <w:b w:val="0"/>
            <w:i/>
          </w:rPr>
          <w:t>1</w:t>
        </w:r>
        <w:r w:rsidR="00837121" w:rsidRPr="00164DC8">
          <w:rPr>
            <w:rStyle w:val="Hyperlink"/>
            <w:b w:val="0"/>
            <w:i/>
          </w:rPr>
          <w:t>a</w:t>
        </w:r>
        <w:r w:rsidR="00132070" w:rsidRPr="00164DC8">
          <w:rPr>
            <w:rStyle w:val="Hyperlink"/>
            <w:b w:val="0"/>
            <w:i/>
          </w:rPr>
          <w:t>.3</w:t>
        </w:r>
      </w:hyperlink>
    </w:p>
    <w:p w14:paraId="36E66667" w14:textId="77777777" w:rsidR="002B06BD" w:rsidRPr="003B1CC5" w:rsidRDefault="002B06BD" w:rsidP="00D94795">
      <w:pPr>
        <w:pStyle w:val="Question"/>
      </w:pPr>
      <w:r w:rsidRPr="003B1CC5">
        <w:rPr>
          <w:bCs/>
          <w:color w:val="0000FF"/>
        </w:rPr>
        <w:t>1a.2.</w:t>
      </w:r>
      <w:r w:rsidRPr="003B1CC5">
        <w:rPr>
          <w:bCs/>
        </w:rPr>
        <w:t xml:space="preserve"> </w:t>
      </w:r>
      <w:r w:rsidRPr="003B1CC5">
        <w:t xml:space="preserve">Briefly state or diagram the </w:t>
      </w:r>
      <w:r w:rsidR="00236F87" w:rsidRPr="003B1CC5">
        <w:t xml:space="preserve">path </w:t>
      </w:r>
      <w:r w:rsidRPr="003B1CC5">
        <w:t xml:space="preserve">between the health outcome </w:t>
      </w:r>
      <w:r w:rsidR="00AA5587" w:rsidRPr="003B1CC5">
        <w:t>(</w:t>
      </w:r>
      <w:r w:rsidRPr="003B1CC5">
        <w:t>or PRO</w:t>
      </w:r>
      <w:r w:rsidR="00AA5587" w:rsidRPr="003B1CC5">
        <w:t>)</w:t>
      </w:r>
      <w:r w:rsidRPr="003B1CC5">
        <w:t xml:space="preserve"> and </w:t>
      </w:r>
      <w:r w:rsidR="00CB06C9" w:rsidRPr="003B1CC5">
        <w:t>the</w:t>
      </w:r>
      <w:r w:rsidRPr="003B1CC5">
        <w:t xml:space="preserve"> healthcare structure</w:t>
      </w:r>
      <w:r w:rsidR="00CB06C9" w:rsidRPr="003B1CC5">
        <w:t>s</w:t>
      </w:r>
      <w:r w:rsidRPr="003B1CC5">
        <w:t>, process</w:t>
      </w:r>
      <w:r w:rsidR="00CB06C9" w:rsidRPr="003B1CC5">
        <w:t>es</w:t>
      </w:r>
      <w:r w:rsidRPr="003B1CC5">
        <w:t>, intervention</w:t>
      </w:r>
      <w:r w:rsidR="00CB06C9" w:rsidRPr="003B1CC5">
        <w:t>s</w:t>
      </w:r>
      <w:r w:rsidRPr="003B1CC5">
        <w:t>, or service</w:t>
      </w:r>
      <w:r w:rsidR="00CB06C9" w:rsidRPr="003B1CC5">
        <w:t>s that influence it</w:t>
      </w:r>
      <w:r w:rsidR="00024526" w:rsidRPr="003B1CC5">
        <w:t>.</w:t>
      </w:r>
    </w:p>
    <w:p w14:paraId="3FF347E6" w14:textId="66C57103" w:rsidR="002B06BD" w:rsidRPr="003B1CC5" w:rsidRDefault="000438AF" w:rsidP="00015304">
      <w:pPr>
        <w:pStyle w:val="Response"/>
      </w:pPr>
      <w:r>
        <w:t>Not applicable.</w:t>
      </w:r>
    </w:p>
    <w:p w14:paraId="731A198B" w14:textId="77777777" w:rsidR="00D14F0B" w:rsidRPr="003B1CC5" w:rsidRDefault="00B058A6" w:rsidP="00D94795">
      <w:pPr>
        <w:pStyle w:val="Question"/>
      </w:pPr>
      <w:r w:rsidRPr="003B1CC5">
        <w:rPr>
          <w:color w:val="0000FF"/>
        </w:rPr>
        <w:t>1</w:t>
      </w:r>
      <w:r w:rsidR="00773485" w:rsidRPr="003B1CC5">
        <w:rPr>
          <w:color w:val="0000FF"/>
        </w:rPr>
        <w:t>a</w:t>
      </w:r>
      <w:r w:rsidRPr="003B1CC5">
        <w:rPr>
          <w:color w:val="0000FF"/>
        </w:rPr>
        <w:t>.2</w:t>
      </w:r>
      <w:r w:rsidR="00496AF8" w:rsidRPr="003B1CC5">
        <w:rPr>
          <w:color w:val="0000FF"/>
        </w:rPr>
        <w:t>.</w:t>
      </w:r>
      <w:r w:rsidR="00E41417" w:rsidRPr="003B1CC5">
        <w:rPr>
          <w:color w:val="0000FF"/>
        </w:rPr>
        <w:t>1.</w:t>
      </w:r>
      <w:r w:rsidR="00E41417" w:rsidRPr="003B1CC5">
        <w:t xml:space="preserve"> </w:t>
      </w:r>
      <w:r w:rsidR="00496AF8" w:rsidRPr="003B1CC5">
        <w:t xml:space="preserve">State the rationale </w:t>
      </w:r>
      <w:r w:rsidR="001D5B5D" w:rsidRPr="003B1CC5">
        <w:t xml:space="preserve">supporting </w:t>
      </w:r>
      <w:r w:rsidR="008B51D9" w:rsidRPr="003B1CC5">
        <w:t xml:space="preserve">the </w:t>
      </w:r>
      <w:r w:rsidR="005D25E9">
        <w:t xml:space="preserve">relationship </w:t>
      </w:r>
      <w:r w:rsidR="00AC1E53">
        <w:t>between</w:t>
      </w:r>
      <w:r w:rsidR="005D25E9">
        <w:t xml:space="preserve"> the </w:t>
      </w:r>
      <w:r w:rsidR="008B51D9" w:rsidRPr="003B1CC5">
        <w:t>health outcome</w:t>
      </w:r>
      <w:r w:rsidR="005857F8" w:rsidRPr="003B1CC5">
        <w:t xml:space="preserve"> </w:t>
      </w:r>
      <w:r w:rsidR="00AA5587" w:rsidRPr="003B1CC5">
        <w:t>(</w:t>
      </w:r>
      <w:r w:rsidR="005857F8" w:rsidRPr="003B1CC5">
        <w:t>or PRO</w:t>
      </w:r>
      <w:r w:rsidR="00AA5587" w:rsidRPr="003B1CC5">
        <w:t>)</w:t>
      </w:r>
      <w:r w:rsidR="008B51D9" w:rsidRPr="003B1CC5">
        <w:t xml:space="preserve"> </w:t>
      </w:r>
      <w:r w:rsidR="005D25E9">
        <w:t>to</w:t>
      </w:r>
      <w:r w:rsidR="00236F87" w:rsidRPr="003B1CC5">
        <w:t xml:space="preserve"> </w:t>
      </w:r>
      <w:r w:rsidR="00496AF8" w:rsidRPr="003B1CC5">
        <w:t>at least one</w:t>
      </w:r>
      <w:r w:rsidR="009B5BEA" w:rsidRPr="003B1CC5">
        <w:t xml:space="preserve"> </w:t>
      </w:r>
      <w:r w:rsidR="00496AF8" w:rsidRPr="003B1CC5">
        <w:t>healthcare structure, process, intervention, or service</w:t>
      </w:r>
      <w:r w:rsidR="00AC1E53">
        <w:t xml:space="preserve"> (</w:t>
      </w:r>
      <w:r w:rsidR="00AC1E53" w:rsidRPr="00417770">
        <w:rPr>
          <w:i/>
        </w:rPr>
        <w:t>i.e., influence on outcome/PRO</w:t>
      </w:r>
      <w:r w:rsidR="00AC1E53" w:rsidRPr="00AC1E53">
        <w:t>)</w:t>
      </w:r>
      <w:r w:rsidR="005D25E9">
        <w:t>.</w:t>
      </w:r>
    </w:p>
    <w:p w14:paraId="4B52E547" w14:textId="77777777" w:rsidR="00D94795" w:rsidRPr="00164DC8" w:rsidRDefault="00496AF8" w:rsidP="00015304">
      <w:pPr>
        <w:spacing w:before="240"/>
        <w:ind w:left="0" w:firstLine="0"/>
        <w:rPr>
          <w:i/>
          <w:iCs/>
        </w:rPr>
      </w:pPr>
      <w:r w:rsidRPr="00164DC8">
        <w:rPr>
          <w:i/>
          <w:iCs/>
          <w:u w:val="single"/>
        </w:rPr>
        <w:t>Note</w:t>
      </w:r>
      <w:r w:rsidR="009B5BEA" w:rsidRPr="00164DC8">
        <w:rPr>
          <w:i/>
          <w:iCs/>
        </w:rPr>
        <w:t>:  F</w:t>
      </w:r>
      <w:r w:rsidRPr="00164DC8">
        <w:rPr>
          <w:i/>
          <w:iCs/>
        </w:rPr>
        <w:t>or health outcome</w:t>
      </w:r>
      <w:r w:rsidR="00236F87" w:rsidRPr="00164DC8">
        <w:rPr>
          <w:i/>
          <w:iCs/>
        </w:rPr>
        <w:t>/PRO</w:t>
      </w:r>
      <w:r w:rsidRPr="00164DC8">
        <w:rPr>
          <w:i/>
          <w:iCs/>
        </w:rPr>
        <w:t xml:space="preserve"> </w:t>
      </w:r>
      <w:r w:rsidR="005857F8" w:rsidRPr="00164DC8">
        <w:rPr>
          <w:i/>
          <w:iCs/>
        </w:rPr>
        <w:t xml:space="preserve">performance </w:t>
      </w:r>
      <w:r w:rsidRPr="00164DC8">
        <w:rPr>
          <w:i/>
          <w:iCs/>
        </w:rPr>
        <w:t>measures, no further information is require</w:t>
      </w:r>
      <w:r w:rsidR="005857F8" w:rsidRPr="00164DC8">
        <w:rPr>
          <w:i/>
          <w:iCs/>
        </w:rPr>
        <w:t>d; however, you may provide evidence for any of the structures, processes, interventions, or service identified above.</w:t>
      </w:r>
    </w:p>
    <w:p w14:paraId="4632B154" w14:textId="3F8D6E3C" w:rsidR="00015304" w:rsidRPr="00015304" w:rsidRDefault="000438AF" w:rsidP="00015304">
      <w:pPr>
        <w:pStyle w:val="Response"/>
      </w:pPr>
      <w:r>
        <w:t>Not applicable.</w:t>
      </w:r>
    </w:p>
    <w:p w14:paraId="21C9C9DF" w14:textId="77777777" w:rsidR="002B06BD" w:rsidRPr="00D94795" w:rsidRDefault="00925F11" w:rsidP="00D94795">
      <w:pPr>
        <w:pStyle w:val="LineDivider"/>
      </w:pPr>
      <w:r w:rsidRPr="00D94795">
        <w:t>_________________________</w:t>
      </w:r>
    </w:p>
    <w:p w14:paraId="55522822" w14:textId="77777777" w:rsidR="00D94795" w:rsidRDefault="00D94795" w:rsidP="00D94795">
      <w:pPr>
        <w:pStyle w:val="Heading2"/>
      </w:pPr>
      <w:r w:rsidRPr="003B1CC5">
        <w:t>INTERMEDIATE OUTCOME, PROCESS, OR STRUCTURE PERFORMANCE MEASURE</w:t>
      </w:r>
    </w:p>
    <w:p w14:paraId="4BDA7C10" w14:textId="77777777" w:rsidR="00D94795" w:rsidRDefault="002B06BD" w:rsidP="00D94795">
      <w:pPr>
        <w:pStyle w:val="Question"/>
        <w:rPr>
          <w:i/>
        </w:rPr>
      </w:pPr>
      <w:bookmarkStart w:id="5" w:name="Section1a3"/>
      <w:bookmarkEnd w:id="5"/>
      <w:r w:rsidRPr="003B1CC5">
        <w:rPr>
          <w:color w:val="0000FF"/>
        </w:rPr>
        <w:t>1a.3.</w:t>
      </w:r>
      <w:r w:rsidRPr="003B1CC5">
        <w:rPr>
          <w:i/>
          <w:color w:val="0000FF"/>
        </w:rPr>
        <w:t xml:space="preserve"> </w:t>
      </w:r>
      <w:r w:rsidRPr="003B1CC5">
        <w:t xml:space="preserve">Briefly state or diagram the </w:t>
      </w:r>
      <w:r w:rsidR="00236F87" w:rsidRPr="003B1CC5">
        <w:t xml:space="preserve">path </w:t>
      </w:r>
      <w:r w:rsidRPr="003B1CC5">
        <w:t xml:space="preserve">between structure, process, intermediate outcome, and health outcomes. </w:t>
      </w:r>
      <w:r w:rsidRPr="00D94795">
        <w:rPr>
          <w:b w:val="0"/>
        </w:rPr>
        <w:t>Include all the steps between the measure focus and the health outcome.</w:t>
      </w:r>
    </w:p>
    <w:p w14:paraId="419D23D1" w14:textId="1A1BEB99" w:rsidR="008F63E3" w:rsidRDefault="00164DC8" w:rsidP="00164DC8">
      <w:pPr>
        <w:pStyle w:val="Response"/>
        <w:ind w:left="0" w:firstLine="0"/>
      </w:pPr>
      <w:r>
        <w:t>Influenza is associated with increased morbidity and mortality in high-risk adult populations and the elderly (CDC, 2015)</w:t>
      </w:r>
      <w:r w:rsidR="00FD6C7C">
        <w:t>.</w:t>
      </w:r>
      <w:r>
        <w:t xml:space="preserve"> The death rate for influenza and pneumonia in people 65 to 74 years old is 2.4 times that of a person 55 to 64; for a person over the age of 85, the death rate is 36.1 times that (Xu</w:t>
      </w:r>
      <w:r w:rsidR="008F63E3">
        <w:t xml:space="preserve">, Murphy, Kochanek, </w:t>
      </w:r>
      <w:r w:rsidR="00BB2384">
        <w:t>and</w:t>
      </w:r>
      <w:r w:rsidR="008F63E3">
        <w:t xml:space="preserve"> Bastian</w:t>
      </w:r>
      <w:r>
        <w:t xml:space="preserve">, 2016). </w:t>
      </w:r>
      <w:r w:rsidR="00A97464">
        <w:rPr>
          <w:bCs/>
        </w:rPr>
        <w:t xml:space="preserve">Influenza is particularly threatening to people with comorbidities, nursing home residents, who are more likely to have comorbidities, are especially susceptible to adverse outcomes of influenza. Nursing home residents frequently have two or more chronic conditions which, together with gradual deterioration of the immune system, make them more susceptible to influenza infection (Fulop et al., 2009). </w:t>
      </w:r>
      <w:r>
        <w:t>Annual seasonal vaccination is an essential element of a multi-faceted approach for preventing the spread of influenza and is an effective preventative measure against influenza</w:t>
      </w:r>
      <w:r w:rsidR="001B6F3D">
        <w:t>-</w:t>
      </w:r>
      <w:r>
        <w:t xml:space="preserve">related hospitalization and death. According to the </w:t>
      </w:r>
      <w:r w:rsidR="00605EF4">
        <w:t>Centers for Disease Control and Prevention (</w:t>
      </w:r>
      <w:r>
        <w:t>CDC</w:t>
      </w:r>
      <w:r w:rsidR="00605EF4">
        <w:t>)</w:t>
      </w:r>
      <w:r>
        <w:t>, more than 200,000 people are hospitalized in the United States each year as a result of complications from influenza (CDC, 2008). Among older persons, influenza vaccine effectiveness</w:t>
      </w:r>
      <w:r w:rsidR="006A5124">
        <w:t xml:space="preserve"> (VE)</w:t>
      </w:r>
      <w:r>
        <w:t xml:space="preserve"> rates recently reported by the CDC have ranged from 50 to 60 percent in preventing influenza-related hospitalization or pneumonia, </w:t>
      </w:r>
      <w:r w:rsidR="001B6F3D">
        <w:t xml:space="preserve">have ranged </w:t>
      </w:r>
      <w:r>
        <w:t xml:space="preserve">from 30 to 40 percent in preventing influenza illness, and </w:t>
      </w:r>
      <w:r w:rsidR="001B6F3D">
        <w:t xml:space="preserve">have stayed constant at </w:t>
      </w:r>
      <w:r>
        <w:t>80 percent in preventing influenza-related death (CDC, 2013; Chaves et al., 2015).</w:t>
      </w:r>
    </w:p>
    <w:p w14:paraId="5BE6B399" w14:textId="77777777" w:rsidR="008F63E3" w:rsidRDefault="008F63E3" w:rsidP="008F63E3">
      <w:pPr>
        <w:pStyle w:val="Response"/>
        <w:ind w:left="0" w:firstLine="0"/>
      </w:pPr>
      <w:r>
        <w:t>Centers for Disease Control and Prevention (CDC). (2008, September). Influenza e</w:t>
      </w:r>
      <w:r>
        <w:noBreakHyphen/>
        <w:t xml:space="preserve">brief: 2008–2009 flu facts for policymakers. Retrieved from </w:t>
      </w:r>
      <w:hyperlink r:id="rId17" w:history="1">
        <w:r w:rsidRPr="00D544C0">
          <w:rPr>
            <w:rStyle w:val="Hyperlink"/>
          </w:rPr>
          <w:t>http://www.cdc.gov/washington/pdf/flu_newsletter.pdf</w:t>
        </w:r>
      </w:hyperlink>
      <w:r>
        <w:t>.</w:t>
      </w:r>
    </w:p>
    <w:p w14:paraId="3C84E619" w14:textId="77777777" w:rsidR="008F63E3" w:rsidRDefault="008F63E3" w:rsidP="008F63E3">
      <w:pPr>
        <w:pStyle w:val="Response"/>
        <w:ind w:left="0" w:firstLine="0"/>
      </w:pPr>
      <w:r>
        <w:t xml:space="preserve">Centers for Disease Control and Prevention (CDC). (2013). Prevention and control of seasonal influenza with vaccines. Recommendations of the Advisory Committee on Immunization Practices--United States, 2013-2014. </w:t>
      </w:r>
      <w:r w:rsidRPr="00583402">
        <w:rPr>
          <w:i/>
        </w:rPr>
        <w:t>MMWR Recomm</w:t>
      </w:r>
      <w:r>
        <w:rPr>
          <w:i/>
        </w:rPr>
        <w:t>endations and</w:t>
      </w:r>
      <w:r w:rsidRPr="00583402">
        <w:rPr>
          <w:i/>
        </w:rPr>
        <w:t xml:space="preserve"> Rep</w:t>
      </w:r>
      <w:r>
        <w:rPr>
          <w:i/>
        </w:rPr>
        <w:t>orts</w:t>
      </w:r>
      <w:r>
        <w:t xml:space="preserve">, </w:t>
      </w:r>
      <w:r w:rsidRPr="00583402">
        <w:rPr>
          <w:i/>
        </w:rPr>
        <w:t>62</w:t>
      </w:r>
      <w:r>
        <w:t xml:space="preserve">(RR-07), 1–43. Retrieved from </w:t>
      </w:r>
      <w:hyperlink r:id="rId18" w:history="1">
        <w:r w:rsidRPr="00D544C0">
          <w:rPr>
            <w:rStyle w:val="Hyperlink"/>
          </w:rPr>
          <w:t>http://www.ncbi.nlm.nih.gov/pubmed/24048214</w:t>
        </w:r>
      </w:hyperlink>
      <w:r>
        <w:t>.</w:t>
      </w:r>
    </w:p>
    <w:p w14:paraId="517C2E0A" w14:textId="77777777" w:rsidR="008F63E3" w:rsidRDefault="008F63E3" w:rsidP="008F63E3">
      <w:pPr>
        <w:pStyle w:val="Response"/>
        <w:ind w:left="0" w:firstLine="0"/>
      </w:pPr>
      <w:r>
        <w:t xml:space="preserve">Centers for Disease Control and Prevention (CDC). (2015, December 10). Estimated influenza illnesses and hospitalizations averted by vaccination—United States, 2014–15 influenza season. </w:t>
      </w:r>
      <w:hyperlink r:id="rId19" w:history="1">
        <w:r w:rsidRPr="00D544C0">
          <w:rPr>
            <w:rStyle w:val="Hyperlink"/>
          </w:rPr>
          <w:t>http://www.cdc.gov/flu/about/disease/2014-15.htm</w:t>
        </w:r>
      </w:hyperlink>
      <w:r>
        <w:t>.</w:t>
      </w:r>
    </w:p>
    <w:p w14:paraId="23FF111F" w14:textId="60E25385" w:rsidR="008F63E3" w:rsidRPr="003B1CC5" w:rsidRDefault="008F63E3" w:rsidP="008F63E3">
      <w:pPr>
        <w:pStyle w:val="Response"/>
        <w:ind w:left="0" w:firstLine="0"/>
      </w:pPr>
      <w:r w:rsidRPr="00D80F07">
        <w:t xml:space="preserve">Chaves, S. S., Perez, A., Miller, L., Bennett, N. M., Bandyopadhyay, A., Farley, </w:t>
      </w:r>
      <w:r w:rsidR="00ED40E5">
        <w:t xml:space="preserve">and </w:t>
      </w:r>
      <w:r w:rsidRPr="00D80F07">
        <w:t xml:space="preserve">M. M., Finelli, L. (2015). Impact of prompt influenza antiviral treatment on extended care needs after influenza hospitalization among community-dwelling older adults. </w:t>
      </w:r>
      <w:r w:rsidRPr="00583402">
        <w:rPr>
          <w:i/>
        </w:rPr>
        <w:t>Clinical Infectious Diseases</w:t>
      </w:r>
      <w:r w:rsidRPr="00D80F07">
        <w:t xml:space="preserve">, </w:t>
      </w:r>
      <w:r w:rsidRPr="00583402">
        <w:rPr>
          <w:i/>
        </w:rPr>
        <w:t>61</w:t>
      </w:r>
      <w:r w:rsidRPr="00D80F07">
        <w:t>(12), 1807</w:t>
      </w:r>
      <w:r>
        <w:t>–</w:t>
      </w:r>
      <w:r w:rsidRPr="00D80F07">
        <w:t>1814. doi:10.1093/cid/civ733</w:t>
      </w:r>
    </w:p>
    <w:p w14:paraId="2A8F6AF8" w14:textId="2A303D6B" w:rsidR="00A97464" w:rsidRPr="00A97464" w:rsidRDefault="00A97464" w:rsidP="00A97464">
      <w:pPr>
        <w:pStyle w:val="Response"/>
        <w:ind w:left="0" w:firstLine="0"/>
      </w:pPr>
      <w:r w:rsidRPr="00A97464">
        <w:t>Fulop</w:t>
      </w:r>
      <w:r w:rsidR="00ED40E5">
        <w:t>,</w:t>
      </w:r>
      <w:r w:rsidRPr="00A97464">
        <w:t xml:space="preserve"> T</w:t>
      </w:r>
      <w:r w:rsidR="00ED40E5">
        <w:t>.</w:t>
      </w:r>
      <w:r w:rsidRPr="00A97464">
        <w:t>, Pawelec</w:t>
      </w:r>
      <w:r w:rsidR="00ED40E5">
        <w:t>,</w:t>
      </w:r>
      <w:r w:rsidRPr="00A97464">
        <w:t xml:space="preserve"> G</w:t>
      </w:r>
      <w:r w:rsidR="00ED40E5">
        <w:t>.</w:t>
      </w:r>
      <w:r w:rsidRPr="00A97464">
        <w:t>, Castle</w:t>
      </w:r>
      <w:r w:rsidR="00ED40E5">
        <w:t>,</w:t>
      </w:r>
      <w:r w:rsidRPr="00A97464">
        <w:t xml:space="preserve"> S</w:t>
      </w:r>
      <w:r w:rsidR="00ED40E5">
        <w:t>.</w:t>
      </w:r>
      <w:r w:rsidRPr="00A97464">
        <w:t>, and Loeb</w:t>
      </w:r>
      <w:r w:rsidR="00ED40E5">
        <w:t>,</w:t>
      </w:r>
      <w:r w:rsidRPr="00A97464">
        <w:t xml:space="preserve"> M. (2009) Immunosenescence and Vaccination in Nursing Home Residents </w:t>
      </w:r>
      <w:r w:rsidRPr="00ED40E5">
        <w:rPr>
          <w:i/>
        </w:rPr>
        <w:t>Aging and Infectious Diseases</w:t>
      </w:r>
      <w:r w:rsidRPr="00A97464">
        <w:t>, (48)</w:t>
      </w:r>
      <w:r w:rsidR="00ED40E5">
        <w:t>,</w:t>
      </w:r>
      <w:r w:rsidRPr="00A97464">
        <w:t xml:space="preserve"> 443-8. </w:t>
      </w:r>
      <w:r>
        <w:t>doi: 10.1086/596475</w:t>
      </w:r>
    </w:p>
    <w:p w14:paraId="0B40A3CA" w14:textId="17B0EC05" w:rsidR="008F63E3" w:rsidRDefault="008F63E3" w:rsidP="008F63E3">
      <w:pPr>
        <w:pStyle w:val="Response"/>
        <w:ind w:left="0" w:firstLine="0"/>
      </w:pPr>
      <w:r>
        <w:t xml:space="preserve">Xu, J., Murphy, S. L., Kochanek, K. D., </w:t>
      </w:r>
      <w:r w:rsidR="00ED40E5">
        <w:t>and</w:t>
      </w:r>
      <w:r>
        <w:t xml:space="preserve"> Bastian, B. A. (2016). Deaths: final data for 2013. </w:t>
      </w:r>
      <w:r w:rsidRPr="00D80F07">
        <w:rPr>
          <w:i/>
        </w:rPr>
        <w:t>National Vital Statistics Report</w:t>
      </w:r>
      <w:r>
        <w:t xml:space="preserve">, </w:t>
      </w:r>
      <w:r w:rsidRPr="00D80F07">
        <w:rPr>
          <w:i/>
        </w:rPr>
        <w:t>64</w:t>
      </w:r>
      <w:r>
        <w:t xml:space="preserve">(2). </w:t>
      </w:r>
      <w:r w:rsidR="001B6F3D">
        <w:t xml:space="preserve">Atlanta, GA: </w:t>
      </w:r>
      <w:r>
        <w:t>Centers for Disease Control and Prevention (CDC), Division of Vital Statistics.</w:t>
      </w:r>
    </w:p>
    <w:p w14:paraId="44993581" w14:textId="77777777" w:rsidR="0055559D" w:rsidRPr="003B1CC5" w:rsidRDefault="00FD4D82" w:rsidP="00D94795">
      <w:pPr>
        <w:pStyle w:val="Question"/>
      </w:pPr>
      <w:r w:rsidRPr="003B1CC5">
        <w:rPr>
          <w:color w:val="0000FF"/>
        </w:rPr>
        <w:t>1</w:t>
      </w:r>
      <w:r w:rsidR="00773485" w:rsidRPr="003B1CC5">
        <w:rPr>
          <w:color w:val="0000FF"/>
        </w:rPr>
        <w:t>a</w:t>
      </w:r>
      <w:r w:rsidRPr="003B1CC5">
        <w:rPr>
          <w:color w:val="0000FF"/>
        </w:rPr>
        <w:t>.</w:t>
      </w:r>
      <w:r w:rsidR="0094689F" w:rsidRPr="003B1CC5">
        <w:rPr>
          <w:color w:val="0000FF"/>
        </w:rPr>
        <w:t>3.</w:t>
      </w:r>
      <w:r w:rsidR="002B06BD" w:rsidRPr="003B1CC5">
        <w:rPr>
          <w:color w:val="0000FF"/>
        </w:rPr>
        <w:t>1</w:t>
      </w:r>
      <w:r w:rsidR="001B38BF" w:rsidRPr="003B1CC5">
        <w:rPr>
          <w:color w:val="0000FF"/>
        </w:rPr>
        <w:t>.</w:t>
      </w:r>
      <w:r w:rsidRPr="003B1CC5">
        <w:rPr>
          <w:color w:val="0000FF"/>
        </w:rPr>
        <w:t xml:space="preserve"> </w:t>
      </w:r>
      <w:r w:rsidRPr="003B1CC5">
        <w:t>What is the source of</w:t>
      </w:r>
      <w:r w:rsidR="00030F43" w:rsidRPr="003B1CC5">
        <w:t xml:space="preserve"> the</w:t>
      </w:r>
      <w:r w:rsidRPr="003B1CC5">
        <w:t xml:space="preserve"> </w:t>
      </w:r>
      <w:r w:rsidR="007573F0" w:rsidRPr="003B1CC5">
        <w:rPr>
          <w:u w:val="single"/>
        </w:rPr>
        <w:t xml:space="preserve">systematic review of the body of </w:t>
      </w:r>
      <w:r w:rsidRPr="003B1CC5">
        <w:rPr>
          <w:u w:val="single"/>
        </w:rPr>
        <w:t>evi</w:t>
      </w:r>
      <w:r w:rsidR="00201FF9" w:rsidRPr="003B1CC5">
        <w:rPr>
          <w:u w:val="single"/>
        </w:rPr>
        <w:t>dence</w:t>
      </w:r>
      <w:r w:rsidR="00201FF9" w:rsidRPr="003B1CC5">
        <w:t xml:space="preserve"> that </w:t>
      </w:r>
      <w:r w:rsidR="00BA579E" w:rsidRPr="003B1CC5">
        <w:t xml:space="preserve">supports </w:t>
      </w:r>
      <w:r w:rsidR="007C1887" w:rsidRPr="003B1CC5">
        <w:t xml:space="preserve">the </w:t>
      </w:r>
      <w:r w:rsidR="00BA579E" w:rsidRPr="003B1CC5">
        <w:t>performance measure</w:t>
      </w:r>
      <w:r w:rsidRPr="003B1CC5">
        <w:t>?</w:t>
      </w:r>
    </w:p>
    <w:p w14:paraId="44A66630" w14:textId="2CC8CAEE" w:rsidR="00D94795" w:rsidRDefault="00DE7CFC"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164DC8">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FD6C7C">
        <w:t>—</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p>
    <w:p w14:paraId="3EAB0E7D" w14:textId="4B2D3440" w:rsidR="00FD4D82" w:rsidRPr="003B1CC5" w:rsidRDefault="00DE7CFC"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w:t>
      </w:r>
      <w:r w:rsidR="00FD6C7C">
        <w:t>—</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43579D16" w14:textId="77B43279" w:rsidR="007573F0" w:rsidRPr="003B1CC5" w:rsidRDefault="00DE7CFC"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164DC8">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w:t>
      </w:r>
      <w:r w:rsidR="00FD6C7C">
        <w:t>—</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1332405E" w14:textId="68BF4809" w:rsidR="00FD4D82" w:rsidRPr="003B1CC5" w:rsidRDefault="00DE7CFC" w:rsidP="003A202B">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w:t>
      </w:r>
      <w:r w:rsidR="00FD6C7C">
        <w:t>—</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09DC14CB" w14:textId="77777777" w:rsidR="00201FF9" w:rsidRPr="003B1CC5" w:rsidRDefault="00201FF9" w:rsidP="003A202B">
      <w:pPr>
        <w:spacing w:before="240"/>
        <w:ind w:left="0" w:firstLine="0"/>
        <w:rPr>
          <w:i/>
        </w:rPr>
      </w:pPr>
      <w:r w:rsidRPr="00164DC8">
        <w:rPr>
          <w:i/>
        </w:rPr>
        <w:t xml:space="preserve">Please complete the sections indicated </w:t>
      </w:r>
      <w:r w:rsidR="00030F43" w:rsidRPr="00164DC8">
        <w:rPr>
          <w:i/>
        </w:rPr>
        <w:t xml:space="preserve">above </w:t>
      </w:r>
      <w:r w:rsidRPr="00164DC8">
        <w:rPr>
          <w:i/>
        </w:rPr>
        <w:t xml:space="preserve">for the source of evidence. You may skip the </w:t>
      </w:r>
      <w:r w:rsidR="00030F43" w:rsidRPr="00164DC8">
        <w:rPr>
          <w:i/>
        </w:rPr>
        <w:t>section</w:t>
      </w:r>
      <w:r w:rsidRPr="00164DC8">
        <w:rPr>
          <w:i/>
        </w:rPr>
        <w:t>s that do not apply.</w:t>
      </w:r>
    </w:p>
    <w:p w14:paraId="5B165D87" w14:textId="77777777" w:rsidR="00925F11" w:rsidRPr="00D94795" w:rsidRDefault="00925F11" w:rsidP="00D94795">
      <w:pPr>
        <w:pStyle w:val="LineDivider"/>
      </w:pPr>
      <w:r w:rsidRPr="00D94795">
        <w:t>_________________________</w:t>
      </w:r>
      <w:bookmarkStart w:id="6" w:name="Section1a4"/>
      <w:bookmarkEnd w:id="6"/>
    </w:p>
    <w:p w14:paraId="040EDD36" w14:textId="77777777" w:rsidR="009B5BEA" w:rsidRPr="003B1CC5" w:rsidRDefault="00FD4D82" w:rsidP="00D94795">
      <w:pPr>
        <w:pStyle w:val="Heading2"/>
      </w:pPr>
      <w:r w:rsidRPr="003B1CC5">
        <w:rPr>
          <w:color w:val="0000FF"/>
        </w:rPr>
        <w:t>1</w:t>
      </w:r>
      <w:r w:rsidR="00773485" w:rsidRPr="003B1CC5">
        <w:rPr>
          <w:color w:val="0000FF"/>
        </w:rPr>
        <w:t>a</w:t>
      </w:r>
      <w:r w:rsidRPr="003B1CC5">
        <w:rPr>
          <w:color w:val="0000FF"/>
        </w:rPr>
        <w:t>.4</w:t>
      </w:r>
      <w:r w:rsidR="00201FF9" w:rsidRPr="003B1CC5">
        <w:rPr>
          <w:color w:val="0000FF"/>
        </w:rPr>
        <w:t>.</w:t>
      </w:r>
      <w:r w:rsidRPr="003B1CC5">
        <w:rPr>
          <w:color w:val="0070C0"/>
        </w:rPr>
        <w:t xml:space="preserve"> </w:t>
      </w:r>
      <w:r w:rsidR="0055559D" w:rsidRPr="003B1CC5">
        <w:t>CLINICAL PRACTICE GUIDELINE</w:t>
      </w:r>
      <w:r w:rsidR="00E746A2" w:rsidRPr="003B1CC5">
        <w:t xml:space="preserve"> RECOMMENDATION</w:t>
      </w:r>
    </w:p>
    <w:p w14:paraId="494919F0" w14:textId="77777777" w:rsidR="00D53405" w:rsidRPr="00015304" w:rsidRDefault="008B51D9" w:rsidP="00D94795">
      <w:pPr>
        <w:pStyle w:val="Question"/>
      </w:pPr>
      <w:r w:rsidRPr="003B1CC5">
        <w:rPr>
          <w:color w:val="0000FF"/>
        </w:rPr>
        <w:t>1</w:t>
      </w:r>
      <w:r w:rsidR="00773485" w:rsidRPr="003B1CC5">
        <w:rPr>
          <w:color w:val="0000FF"/>
        </w:rPr>
        <w:t>a</w:t>
      </w:r>
      <w:r w:rsidRPr="003B1CC5">
        <w:rPr>
          <w:color w:val="0000FF"/>
        </w:rPr>
        <w:t>.</w:t>
      </w:r>
      <w:r w:rsidR="00B058A6" w:rsidRPr="003B1CC5">
        <w:rPr>
          <w:color w:val="0000FF"/>
        </w:rPr>
        <w:t>4</w:t>
      </w:r>
      <w:r w:rsidRPr="003B1CC5">
        <w:rPr>
          <w:color w:val="0000FF"/>
        </w:rPr>
        <w:t>.1.</w:t>
      </w:r>
      <w:r w:rsidRPr="003B1CC5">
        <w:t xml:space="preserve"> </w:t>
      </w:r>
      <w:r w:rsidR="00496AF8" w:rsidRPr="003B1CC5">
        <w:t>Guideline citation</w:t>
      </w:r>
      <w:r w:rsidR="002F20A7" w:rsidRPr="003B1CC5">
        <w:t xml:space="preserve"> </w:t>
      </w:r>
      <w:r w:rsidR="006709EB" w:rsidRPr="00164DC8">
        <w:rPr>
          <w:b w:val="0"/>
        </w:rPr>
        <w:t>(</w:t>
      </w:r>
      <w:r w:rsidR="006709EB" w:rsidRPr="00164DC8">
        <w:rPr>
          <w:b w:val="0"/>
          <w:i/>
        </w:rPr>
        <w:t>including date</w:t>
      </w:r>
      <w:r w:rsidR="006709EB" w:rsidRPr="00164DC8">
        <w:rPr>
          <w:b w:val="0"/>
        </w:rPr>
        <w:t>)</w:t>
      </w:r>
      <w:r w:rsidR="00265702" w:rsidRPr="00164DC8">
        <w:rPr>
          <w:b w:val="0"/>
        </w:rPr>
        <w:t xml:space="preserve"> and </w:t>
      </w:r>
      <w:r w:rsidR="00265702" w:rsidRPr="003B1CC5">
        <w:t xml:space="preserve">URL for guideline </w:t>
      </w:r>
      <w:r w:rsidR="00265702" w:rsidRPr="00D94795">
        <w:rPr>
          <w:b w:val="0"/>
        </w:rPr>
        <w:t>(</w:t>
      </w:r>
      <w:r w:rsidR="00265702" w:rsidRPr="00D94795">
        <w:rPr>
          <w:b w:val="0"/>
          <w:i/>
        </w:rPr>
        <w:t>if available online</w:t>
      </w:r>
      <w:r w:rsidR="00265702" w:rsidRPr="00D94795">
        <w:rPr>
          <w:b w:val="0"/>
        </w:rPr>
        <w:t>):</w:t>
      </w:r>
    </w:p>
    <w:p w14:paraId="3B90B783" w14:textId="782CD034" w:rsidR="00FD6C7C" w:rsidRDefault="00164DC8" w:rsidP="00164DC8">
      <w:pPr>
        <w:pStyle w:val="Response"/>
        <w:ind w:left="0" w:firstLine="0"/>
      </w:pPr>
      <w:r>
        <w:t>The CDC Advisory Committee on Immunization Practices (ACIP) provides advice and guidance to CDC regarding use of vaccines and related agents for control of vaccine-preventable diseases in the civilian population of the United States. Recommendations made by the ACIP are reviewed by the CDC Director and, if adopted, are published as official CDC/</w:t>
      </w:r>
      <w:r w:rsidR="00605EF4">
        <w:t xml:space="preserve">U.S. Department of Health and Human Services </w:t>
      </w:r>
      <w:r>
        <w:t xml:space="preserve">recommendations in the </w:t>
      </w:r>
      <w:r w:rsidRPr="00632616">
        <w:rPr>
          <w:i/>
        </w:rPr>
        <w:t>Morbidity and Mortality Weekly Report (MMWR)</w:t>
      </w:r>
      <w:r>
        <w:t xml:space="preserve"> (Grohskopf et al., </w:t>
      </w:r>
      <w:r w:rsidR="008F63E3">
        <w:t xml:space="preserve">2013, </w:t>
      </w:r>
      <w:r>
        <w:t>2015). A recent update to the ACIP guidelines clarified one change to these influenza recommendations, with respect to vaccinating persons with egg allergies, and is included in the list of recommendations in section 1a.4.2.</w:t>
      </w:r>
    </w:p>
    <w:p w14:paraId="63674F30" w14:textId="322A2291" w:rsidR="00164DC8" w:rsidRDefault="00164DC8" w:rsidP="00164DC8">
      <w:pPr>
        <w:pStyle w:val="Response"/>
        <w:ind w:left="0" w:firstLine="0"/>
      </w:pPr>
      <w:r>
        <w:t>The USPSTF recognizes the importance of immunizations in primary disease prevention, and wishes to avoid duplication of the significant investment of resources made by others to review new evidence on immunizations in a timely fashion and make recommendations. Thus</w:t>
      </w:r>
      <w:r w:rsidR="000438AF">
        <w:t>,</w:t>
      </w:r>
      <w:r>
        <w:t xml:space="preserve"> the USPSTF refers health care professionals to the CDC ACIP recommendations, but notes that methods used by the ACIP to review evidence on immunizations may differ from methods used by the USPSTF.</w:t>
      </w:r>
      <w:r w:rsidR="00FD6C7C">
        <w:t xml:space="preserve"> </w:t>
      </w:r>
      <w:r>
        <w:t>The Infectious Diseases Society of America ha</w:t>
      </w:r>
      <w:r w:rsidR="001B6F3D">
        <w:t>s</w:t>
      </w:r>
      <w:r>
        <w:t xml:space="preserve"> also retired </w:t>
      </w:r>
      <w:r w:rsidR="001B6F3D">
        <w:t xml:space="preserve">its </w:t>
      </w:r>
      <w:r>
        <w:t>immunization guidelines, and refers health care professionals to the ACIP recommendations.</w:t>
      </w:r>
    </w:p>
    <w:p w14:paraId="43269A6A" w14:textId="50FAD6A5" w:rsidR="008F63E3" w:rsidRPr="00015304" w:rsidRDefault="008F63E3" w:rsidP="008F63E3">
      <w:pPr>
        <w:pStyle w:val="Response"/>
        <w:ind w:left="0" w:firstLine="0"/>
      </w:pPr>
      <w:r>
        <w:t xml:space="preserve">Grohskopf, L. A., Shay, D. K., Shimabukuro, T. T., Sokolow, L. Z., Keitel, W. A., Bresee, J. S., </w:t>
      </w:r>
      <w:r w:rsidR="00BB2384">
        <w:t>and</w:t>
      </w:r>
      <w:r>
        <w:t xml:space="preserve"> Cox, N. J. (2013, September 20). Prevention and control of seasonal influenza with vaccines: recommendations of the Advisory Committee on Immunization Practices (ACIP)—United States, 2013–2014. </w:t>
      </w:r>
      <w:r w:rsidRPr="00583402">
        <w:rPr>
          <w:i/>
        </w:rPr>
        <w:t>MMWR. Morbidity and Mortality Weekly Report</w:t>
      </w:r>
      <w:r>
        <w:t xml:space="preserve">, </w:t>
      </w:r>
      <w:r w:rsidRPr="00583402">
        <w:rPr>
          <w:i/>
        </w:rPr>
        <w:t>62</w:t>
      </w:r>
      <w:r>
        <w:t>(7), 1–48.</w:t>
      </w:r>
    </w:p>
    <w:p w14:paraId="69491546" w14:textId="420955FA" w:rsidR="00FD6C7C" w:rsidRDefault="00583402" w:rsidP="008F63E3">
      <w:pPr>
        <w:pStyle w:val="Response"/>
        <w:ind w:left="0" w:firstLine="0"/>
      </w:pPr>
      <w:r w:rsidRPr="00583402">
        <w:t xml:space="preserve">Grohskopf, L. A., Sokolow, L. Z., Olsen, S. J., Bresee, J. S., Broder, K. R., </w:t>
      </w:r>
      <w:r w:rsidR="00BB2384">
        <w:t>and</w:t>
      </w:r>
      <w:r w:rsidRPr="00583402">
        <w:t xml:space="preserve"> Karron, R. A. (2015</w:t>
      </w:r>
      <w:r>
        <w:t>, August 7</w:t>
      </w:r>
      <w:r w:rsidRPr="00583402">
        <w:t xml:space="preserve">). </w:t>
      </w:r>
      <w:r w:rsidR="00164DC8">
        <w:t xml:space="preserve">Prevention and </w:t>
      </w:r>
      <w:r>
        <w:t xml:space="preserve">control of seasonal influenza with vaccines: recommendations </w:t>
      </w:r>
      <w:r w:rsidR="00164DC8">
        <w:t>of the Advisory Committee o</w:t>
      </w:r>
      <w:r>
        <w:t>n Immunization Practices (ACIP)—</w:t>
      </w:r>
      <w:r w:rsidR="00164DC8">
        <w:t>United States, 2015</w:t>
      </w:r>
      <w:r>
        <w:t>–</w:t>
      </w:r>
      <w:r w:rsidR="00164DC8">
        <w:t xml:space="preserve">2016. </w:t>
      </w:r>
      <w:r w:rsidRPr="00583402">
        <w:rPr>
          <w:i/>
        </w:rPr>
        <w:t>MMWR. Morbidity and Mortality Weekly Report</w:t>
      </w:r>
      <w:r>
        <w:t xml:space="preserve">, </w:t>
      </w:r>
      <w:r w:rsidR="00164DC8" w:rsidRPr="00583402">
        <w:rPr>
          <w:i/>
        </w:rPr>
        <w:t>64</w:t>
      </w:r>
      <w:r w:rsidR="00164DC8">
        <w:t>(30)</w:t>
      </w:r>
      <w:r>
        <w:t xml:space="preserve">, </w:t>
      </w:r>
      <w:r w:rsidR="00164DC8">
        <w:t>818</w:t>
      </w:r>
      <w:r>
        <w:t>–</w:t>
      </w:r>
      <w:r w:rsidR="00164DC8">
        <w:t>825.</w:t>
      </w:r>
      <w:r w:rsidR="00FD6C7C">
        <w:t xml:space="preserve"> </w:t>
      </w:r>
      <w:r w:rsidR="00164DC8">
        <w:t>http://www.cdc.gov/mmwr/preview/mmwrhtml/mm6430a3.htm</w:t>
      </w:r>
    </w:p>
    <w:p w14:paraId="303D91ED" w14:textId="77777777" w:rsidR="00D14F0B" w:rsidRPr="003B1CC5" w:rsidRDefault="008B51D9" w:rsidP="00D94795">
      <w:pPr>
        <w:pStyle w:val="Question"/>
      </w:pPr>
      <w:r w:rsidRPr="003B1CC5">
        <w:rPr>
          <w:color w:val="0000FF"/>
        </w:rPr>
        <w:t>1</w:t>
      </w:r>
      <w:r w:rsidR="00773485" w:rsidRPr="003B1CC5">
        <w:rPr>
          <w:color w:val="0000FF"/>
        </w:rPr>
        <w:t>a</w:t>
      </w:r>
      <w:r w:rsidRPr="003B1CC5">
        <w:rPr>
          <w:color w:val="0000FF"/>
        </w:rPr>
        <w:t>.</w:t>
      </w:r>
      <w:r w:rsidR="00B058A6" w:rsidRPr="003B1CC5">
        <w:rPr>
          <w:color w:val="0000FF"/>
        </w:rPr>
        <w:t>4</w:t>
      </w:r>
      <w:r w:rsidR="00265702" w:rsidRPr="003B1CC5">
        <w:rPr>
          <w:color w:val="0000FF"/>
        </w:rPr>
        <w:t>.2</w:t>
      </w:r>
      <w:r w:rsidRPr="003B1CC5">
        <w:rPr>
          <w:color w:val="0000FF"/>
        </w:rPr>
        <w:t>.</w:t>
      </w:r>
      <w:r w:rsidRPr="003B1CC5">
        <w:t xml:space="preserve"> </w:t>
      </w:r>
      <w:r w:rsidR="00496AF8" w:rsidRPr="003B1CC5">
        <w:t>Identify</w:t>
      </w:r>
      <w:r w:rsidR="00A44FF0" w:rsidRPr="003B1CC5">
        <w:t xml:space="preserve"> </w:t>
      </w:r>
      <w:r w:rsidR="00C54E40" w:rsidRPr="003B1CC5">
        <w:t>g</w:t>
      </w:r>
      <w:r w:rsidR="00496AF8" w:rsidRPr="003B1CC5">
        <w:t xml:space="preserve">uideline </w:t>
      </w:r>
      <w:r w:rsidR="00E746A2" w:rsidRPr="003B1CC5">
        <w:t xml:space="preserve">recommendation </w:t>
      </w:r>
      <w:r w:rsidR="00496AF8" w:rsidRPr="003B1CC5">
        <w:t>number and/or page number</w:t>
      </w:r>
      <w:r w:rsidR="00265702" w:rsidRPr="003B1CC5">
        <w:t xml:space="preserve"> and </w:t>
      </w:r>
      <w:r w:rsidR="00C54E40" w:rsidRPr="003B1CC5">
        <w:t>q</w:t>
      </w:r>
      <w:r w:rsidR="00265702" w:rsidRPr="003B1CC5">
        <w:t>uote verbatim, the specific guideline recommendation</w:t>
      </w:r>
      <w:r w:rsidR="00FC32D3" w:rsidRPr="003B1CC5">
        <w:t>.</w:t>
      </w:r>
    </w:p>
    <w:p w14:paraId="45140AA3" w14:textId="2BE05271" w:rsidR="00015304" w:rsidRPr="00015304" w:rsidRDefault="00164DC8" w:rsidP="00164DC8">
      <w:pPr>
        <w:pStyle w:val="Response"/>
        <w:ind w:left="0" w:firstLine="0"/>
      </w:pPr>
      <w:r w:rsidRPr="001F383B">
        <w:rPr>
          <w:bCs/>
        </w:rPr>
        <w:t xml:space="preserve">Guideline recommendations are from the </w:t>
      </w:r>
      <w:r>
        <w:rPr>
          <w:bCs/>
        </w:rPr>
        <w:t xml:space="preserve">CDC ACIP recommendations published most recently in MMWR 64 in August 2015. </w:t>
      </w:r>
      <w:r>
        <w:t xml:space="preserve">These guidelines are available at </w:t>
      </w:r>
      <w:hyperlink r:id="rId20" w:history="1">
        <w:r w:rsidRPr="00EA048D">
          <w:rPr>
            <w:rStyle w:val="Hyperlink"/>
            <w:rFonts w:cs="Helvetica"/>
          </w:rPr>
          <w:t>http://www.cdc.gov/mmwr/preview/mmwrhtml/mm6430a3.htm</w:t>
        </w:r>
      </w:hyperlink>
      <w:r w:rsidRPr="00EA048D">
        <w:rPr>
          <w:rFonts w:cs="Helvetica"/>
          <w:color w:val="333333"/>
        </w:rPr>
        <w:t xml:space="preserve"> </w:t>
      </w:r>
      <w:r w:rsidRPr="002D709C">
        <w:rPr>
          <w:bCs/>
        </w:rPr>
        <w:t xml:space="preserve">and </w:t>
      </w:r>
      <w:hyperlink r:id="rId21" w:history="1">
        <w:r w:rsidRPr="00EA048D">
          <w:rPr>
            <w:rStyle w:val="Hyperlink"/>
            <w:rFonts w:cs="Helvetica"/>
          </w:rPr>
          <w:t>http://www.cdc.gov/vaccines/hcp/acip-recs/vacc-specific/flu.html</w:t>
        </w:r>
      </w:hyperlink>
      <w:r w:rsidR="00F70FA1">
        <w:rPr>
          <w:rStyle w:val="Hyperlink"/>
          <w:rFonts w:cs="Helvetica"/>
        </w:rPr>
        <w:t xml:space="preserve"> </w:t>
      </w:r>
    </w:p>
    <w:p w14:paraId="2CE8EB61" w14:textId="77777777" w:rsidR="00164DC8" w:rsidRPr="00D54262" w:rsidRDefault="00164DC8" w:rsidP="00164DC8">
      <w:pPr>
        <w:pStyle w:val="Response"/>
        <w:rPr>
          <w:rFonts w:eastAsiaTheme="minorEastAsia"/>
          <w:b/>
          <w:bCs/>
        </w:rPr>
      </w:pPr>
      <w:r w:rsidRPr="00D54262">
        <w:rPr>
          <w:rFonts w:eastAsiaTheme="minorEastAsia"/>
          <w:b/>
          <w:bCs/>
        </w:rPr>
        <w:t>Major Recommendations</w:t>
      </w:r>
    </w:p>
    <w:p w14:paraId="36B11A75" w14:textId="74ACB45B" w:rsidR="00FD6C7C" w:rsidRDefault="00164DC8" w:rsidP="00F70FA1">
      <w:pPr>
        <w:pStyle w:val="Response"/>
        <w:numPr>
          <w:ilvl w:val="0"/>
          <w:numId w:val="22"/>
        </w:numPr>
        <w:spacing w:before="0" w:after="0"/>
      </w:pPr>
      <w:r w:rsidRPr="00D54262">
        <w:t>Routine annual influenza vaccination is recommended for all persons ≥</w:t>
      </w:r>
      <w:r w:rsidR="00647360">
        <w:t> </w:t>
      </w:r>
      <w:r w:rsidRPr="00D54262">
        <w:t>6 months who do not have contraindications.</w:t>
      </w:r>
      <w:r w:rsidR="00F70FA1">
        <w:t xml:space="preserve">  </w:t>
      </w:r>
      <w:r w:rsidR="00AF1A15">
        <w:t xml:space="preserve">The CDC ACIP list of contraindications is updated from time to time, and there are different contraindications </w:t>
      </w:r>
      <w:r w:rsidR="00824E1D">
        <w:t>listed for</w:t>
      </w:r>
      <w:r w:rsidR="00AF1A15">
        <w:t xml:space="preserve"> different types of influenza vaccines. Therefore, interested readers should visit the CDC MMWR for the most current list of contraindications.</w:t>
      </w:r>
      <w:r w:rsidR="00F70FA1">
        <w:t xml:space="preserve">       </w:t>
      </w:r>
      <w:hyperlink r:id="rId22" w:history="1">
        <w:r w:rsidR="00AF1A15" w:rsidRPr="00CE71BE">
          <w:rPr>
            <w:rStyle w:val="Hyperlink"/>
          </w:rPr>
          <w:t>http://www.cdc.gov/mmwr/preview/mmwrhtml/mm6430a3.htm</w:t>
        </w:r>
      </w:hyperlink>
      <w:r w:rsidR="00AF1A15">
        <w:t xml:space="preserve"> </w:t>
      </w:r>
    </w:p>
    <w:p w14:paraId="02AF7201" w14:textId="23696EC5" w:rsidR="00FC19C7" w:rsidRDefault="00AF1A15" w:rsidP="004F7C97">
      <w:pPr>
        <w:pStyle w:val="Response"/>
        <w:spacing w:before="0" w:after="0"/>
        <w:ind w:left="720" w:firstLine="0"/>
      </w:pPr>
      <w:r>
        <w:t>For example, in 2016</w:t>
      </w:r>
      <w:r w:rsidR="00FC19C7">
        <w:t>,</w:t>
      </w:r>
      <w:r>
        <w:t xml:space="preserve"> ACIP updated their guidelines to specify vaccination options for individuals with egg allergies</w:t>
      </w:r>
      <w:r w:rsidR="00FC19C7">
        <w:t>, formerly considered a contraindication</w:t>
      </w:r>
      <w:r>
        <w:t>.</w:t>
      </w:r>
      <w:r w:rsidR="00FC19C7">
        <w:t xml:space="preserve"> Adults</w:t>
      </w:r>
      <w:r w:rsidR="00FC19C7" w:rsidRPr="00F227E0">
        <w:t xml:space="preserve"> with </w:t>
      </w:r>
      <w:r w:rsidR="00824E1D">
        <w:t xml:space="preserve">a </w:t>
      </w:r>
      <w:r w:rsidR="00FC19C7" w:rsidRPr="00F227E0">
        <w:t>hives-only allergy to eggs may receive the inactivated influenza vaccine (IIV) w</w:t>
      </w:r>
      <w:r w:rsidR="00FC19C7">
        <w:t>ith additional safety measures, and adults</w:t>
      </w:r>
      <w:r w:rsidR="00FC19C7" w:rsidRPr="00F227E0">
        <w:t xml:space="preserve"> with </w:t>
      </w:r>
      <w:r w:rsidR="00824E1D">
        <w:t xml:space="preserve">an </w:t>
      </w:r>
      <w:r w:rsidR="00FC19C7" w:rsidRPr="00F227E0">
        <w:t>egg allergy of any severity may receive the recombinant influenza vaccine (RIV)</w:t>
      </w:r>
      <w:r w:rsidR="00824E1D">
        <w:t>,</w:t>
      </w:r>
      <w:r w:rsidR="00FC19C7" w:rsidRPr="00F227E0">
        <w:t xml:space="preserve"> because it does not </w:t>
      </w:r>
      <w:r w:rsidR="00FC19C7">
        <w:t xml:space="preserve">contain any egg protein. </w:t>
      </w:r>
    </w:p>
    <w:p w14:paraId="0EBBB17B" w14:textId="30385CB2" w:rsidR="00164DC8" w:rsidRPr="00D54262" w:rsidRDefault="00164DC8" w:rsidP="00A409CA">
      <w:pPr>
        <w:pStyle w:val="Response"/>
        <w:numPr>
          <w:ilvl w:val="0"/>
          <w:numId w:val="22"/>
        </w:numPr>
        <w:spacing w:before="0" w:after="0"/>
      </w:pPr>
      <w:r w:rsidRPr="00D54262">
        <w:t>Optimally, vaccination should occur before onset of influenza activity in the community. Health care providers should offer vaccination by October, if possible. Vaccination should continue to be offered as long as influenza viruses are circulating. To avoid missed opportunities for vaccination, providers should offer vaccination to unvaccinated persons ≥</w:t>
      </w:r>
      <w:r w:rsidR="00647360">
        <w:t> </w:t>
      </w:r>
      <w:r w:rsidRPr="00D54262">
        <w:t>6 months</w:t>
      </w:r>
      <w:r w:rsidR="00647360">
        <w:t xml:space="preserve"> old</w:t>
      </w:r>
      <w:r w:rsidRPr="00D54262">
        <w:t xml:space="preserve"> during routine health care visits and hospitalizations when</w:t>
      </w:r>
      <w:r w:rsidR="001B6F3D">
        <w:t xml:space="preserve"> the</w:t>
      </w:r>
      <w:r w:rsidRPr="00D54262">
        <w:t xml:space="preserve"> vaccine is available.</w:t>
      </w:r>
    </w:p>
    <w:p w14:paraId="51946F29" w14:textId="73A70169" w:rsidR="00164DC8" w:rsidRPr="00D54262" w:rsidRDefault="00E52541" w:rsidP="00E52541">
      <w:pPr>
        <w:pStyle w:val="Response"/>
        <w:numPr>
          <w:ilvl w:val="0"/>
          <w:numId w:val="22"/>
        </w:numPr>
        <w:spacing w:before="0" w:after="0"/>
      </w:pPr>
      <w:r w:rsidRPr="00D6652F">
        <w:t xml:space="preserve">The </w:t>
      </w:r>
      <w:r>
        <w:t>IIV3, trivalent, high-</w:t>
      </w:r>
      <w:r w:rsidRPr="00D6652F">
        <w:t>dose influenza vaccine is now recommended for those who are 65</w:t>
      </w:r>
      <w:r>
        <w:t xml:space="preserve"> years of age and older,</w:t>
      </w:r>
      <w:r w:rsidRPr="00D6652F">
        <w:t xml:space="preserve"> </w:t>
      </w:r>
      <w:r>
        <w:t xml:space="preserve">as </w:t>
      </w:r>
      <w:r w:rsidRPr="00D6652F">
        <w:t>high-dose influenza vaccine increas</w:t>
      </w:r>
      <w:r>
        <w:t>es effectiveness</w:t>
      </w:r>
      <w:r w:rsidRPr="00D6652F">
        <w:t>.</w:t>
      </w:r>
      <w:r>
        <w:t xml:space="preserve"> </w:t>
      </w:r>
      <w:r w:rsidR="00164DC8" w:rsidRPr="00D54262">
        <w:t>Although a 2008 literature review found no clear evidence of more</w:t>
      </w:r>
      <w:r w:rsidR="00DD3BCC">
        <w:t>-</w:t>
      </w:r>
      <w:r w:rsidR="00164DC8" w:rsidRPr="00D54262">
        <w:t>rapid decline among older adults, a 2010 study noted a statistically significant decline in antibody titers 6 months after vaccination among persons ≥</w:t>
      </w:r>
      <w:r w:rsidR="00647360">
        <w:t> </w:t>
      </w:r>
      <w:r w:rsidR="00164DC8" w:rsidRPr="00D54262">
        <w:t>65 years</w:t>
      </w:r>
      <w:r w:rsidR="00647360">
        <w:t xml:space="preserve"> old</w:t>
      </w:r>
      <w:r w:rsidR="00164DC8">
        <w:t xml:space="preserve"> (CDC</w:t>
      </w:r>
      <w:r w:rsidR="007F6F9E">
        <w:t>, 2013;</w:t>
      </w:r>
      <w:r w:rsidR="00164DC8">
        <w:t xml:space="preserve"> Song et al</w:t>
      </w:r>
      <w:r w:rsidR="007F6F9E">
        <w:t>.,</w:t>
      </w:r>
      <w:r w:rsidR="00164DC8">
        <w:t xml:space="preserve"> 2010)</w:t>
      </w:r>
      <w:r w:rsidR="00164DC8" w:rsidRPr="00D54262">
        <w:t>.</w:t>
      </w:r>
      <w:r w:rsidR="00C53B79">
        <w:t xml:space="preserve"> </w:t>
      </w:r>
      <w:r w:rsidR="00164DC8" w:rsidRPr="00D54262">
        <w:t xml:space="preserve">A case-control study conducted in Navarre, Spain, during the 2011–12 influenza season revealed a decline in </w:t>
      </w:r>
      <w:r w:rsidR="006A5124">
        <w:t>VE</w:t>
      </w:r>
      <w:r w:rsidR="00164DC8" w:rsidRPr="00D54262">
        <w:t>, primarily affecting persons ≥</w:t>
      </w:r>
      <w:r w:rsidR="00647360">
        <w:t> </w:t>
      </w:r>
      <w:r w:rsidR="00164DC8" w:rsidRPr="00D54262">
        <w:t>65 years</w:t>
      </w:r>
      <w:r w:rsidR="00647360">
        <w:t xml:space="preserve"> old</w:t>
      </w:r>
      <w:r w:rsidR="00164DC8">
        <w:t xml:space="preserve"> (Skowronski, Tweed</w:t>
      </w:r>
      <w:r w:rsidR="007F6F9E">
        <w:t>,</w:t>
      </w:r>
      <w:r w:rsidR="00164DC8">
        <w:t xml:space="preserve"> </w:t>
      </w:r>
      <w:r w:rsidR="00251A7D">
        <w:t>and</w:t>
      </w:r>
      <w:r w:rsidR="007F6F9E">
        <w:t xml:space="preserve"> </w:t>
      </w:r>
      <w:r w:rsidR="00164DC8">
        <w:t>De Serres</w:t>
      </w:r>
      <w:r w:rsidR="007F6F9E">
        <w:t>,</w:t>
      </w:r>
      <w:r w:rsidR="00164DC8">
        <w:t xml:space="preserve"> 2008)</w:t>
      </w:r>
      <w:r w:rsidR="00164DC8" w:rsidRPr="00D54262">
        <w:t>.</w:t>
      </w:r>
    </w:p>
    <w:p w14:paraId="46794991" w14:textId="3174798B" w:rsidR="00164DC8" w:rsidRPr="00D54262" w:rsidRDefault="001B6F3D" w:rsidP="00A409CA">
      <w:pPr>
        <w:pStyle w:val="Response"/>
        <w:numPr>
          <w:ilvl w:val="0"/>
          <w:numId w:val="22"/>
        </w:numPr>
        <w:spacing w:before="0" w:after="0"/>
      </w:pPr>
      <w:r>
        <w:t>Although</w:t>
      </w:r>
      <w:r w:rsidRPr="00D54262">
        <w:t xml:space="preserve"> </w:t>
      </w:r>
      <w:r w:rsidR="00164DC8" w:rsidRPr="00D54262">
        <w:t>delaying vaccination might permit greater immunity later in the season, deferral might result in missed opportunities to vaccinate, as well as difficulties in vaccinating a population within a more constrained time period. Vaccination programs should balance maximizing the likelihood of persistence of vaccine-induced protection through the season with avoiding missed opportunities to vaccinate or vaccinating after influenza virus circulation begins.</w:t>
      </w:r>
    </w:p>
    <w:p w14:paraId="36081911" w14:textId="7A1E5BEE" w:rsidR="00164DC8" w:rsidRPr="00F71E0D" w:rsidRDefault="00164DC8" w:rsidP="00A409CA">
      <w:pPr>
        <w:pStyle w:val="Response"/>
        <w:numPr>
          <w:ilvl w:val="0"/>
          <w:numId w:val="22"/>
        </w:numPr>
        <w:spacing w:before="0" w:after="0"/>
        <w:rPr>
          <w:lang w:val="en"/>
        </w:rPr>
      </w:pPr>
      <w:r w:rsidRPr="00D54262">
        <w:t xml:space="preserve">Both Live Attenuated Influenza Vaccine (LAIV) and Inactivated Influenza Vaccine (IIV) have been demonstrated to be effective in children and adults, </w:t>
      </w:r>
      <w:r w:rsidR="00647360">
        <w:t>and</w:t>
      </w:r>
      <w:r w:rsidR="00647360" w:rsidRPr="00D54262">
        <w:t xml:space="preserve"> </w:t>
      </w:r>
      <w:r w:rsidRPr="00D54262">
        <w:t>most comparative studies have demonstrated</w:t>
      </w:r>
      <w:r w:rsidR="00647360">
        <w:t xml:space="preserve"> </w:t>
      </w:r>
      <w:r w:rsidR="007C7F87" w:rsidRPr="00D54262">
        <w:t xml:space="preserve">that LAIV </w:t>
      </w:r>
      <w:r w:rsidR="007C7F87">
        <w:t>and</w:t>
      </w:r>
      <w:r w:rsidRPr="00D54262">
        <w:t xml:space="preserve"> IIV were of similar efficacy among adults, or that IIV was more efficacious</w:t>
      </w:r>
      <w:r>
        <w:t xml:space="preserve"> (Castilla et al</w:t>
      </w:r>
      <w:r w:rsidR="007F6F9E">
        <w:t>.,</w:t>
      </w:r>
      <w:r>
        <w:t xml:space="preserve"> 2013)</w:t>
      </w:r>
      <w:r>
        <w:rPr>
          <w:lang w:val="en"/>
        </w:rPr>
        <w:t>.</w:t>
      </w:r>
    </w:p>
    <w:p w14:paraId="6FB66F66" w14:textId="0D653DC4" w:rsidR="00164DC8" w:rsidRDefault="00647360" w:rsidP="00164DC8">
      <w:pPr>
        <w:pStyle w:val="Response"/>
        <w:ind w:left="0" w:firstLine="0"/>
        <w:rPr>
          <w:lang w:val="en"/>
        </w:rPr>
      </w:pPr>
      <w:r>
        <w:t>The</w:t>
      </w:r>
      <w:r w:rsidRPr="00D54262">
        <w:t xml:space="preserve"> </w:t>
      </w:r>
      <w:r w:rsidR="00164DC8" w:rsidRPr="00D54262">
        <w:t>MMWR article also addresses variation in standard-dose versus high-dose influenza vaccine formulations, and provides guidelines concerning forms of administering the influenza vaccine (e.g.</w:t>
      </w:r>
      <w:r>
        <w:t>,</w:t>
      </w:r>
      <w:r w:rsidR="00164DC8" w:rsidRPr="00D54262">
        <w:t xml:space="preserve"> intradermal, intramuscular, intranasal). As in the case of the major recommendations outlined above and detailed below, considerations of age, allergies, and immunocompromised states are key to clinicians determining dose and administration appropriateness</w:t>
      </w:r>
      <w:r w:rsidR="00164DC8">
        <w:t xml:space="preserve"> (Grohskopf</w:t>
      </w:r>
      <w:r w:rsidR="007F6F9E">
        <w:t xml:space="preserve"> et al.,</w:t>
      </w:r>
      <w:r w:rsidR="00164DC8">
        <w:t xml:space="preserve"> 2015)</w:t>
      </w:r>
      <w:r w:rsidR="00164DC8">
        <w:rPr>
          <w:lang w:val="en"/>
        </w:rPr>
        <w:t>.</w:t>
      </w:r>
    </w:p>
    <w:p w14:paraId="44DC8E2C" w14:textId="56B42923" w:rsidR="00164DC8" w:rsidRPr="00164DC8" w:rsidRDefault="00164DC8" w:rsidP="00164DC8">
      <w:pPr>
        <w:pStyle w:val="Response"/>
        <w:keepNext/>
        <w:ind w:left="0" w:firstLine="0"/>
        <w:rPr>
          <w:lang w:val="en"/>
        </w:rPr>
      </w:pPr>
      <w:r w:rsidRPr="00D54262">
        <w:t>For the 2015–</w:t>
      </w:r>
      <w:r w:rsidR="00647360">
        <w:t>20</w:t>
      </w:r>
      <w:r w:rsidRPr="00D54262">
        <w:t>16 IVS, ACIP recommends the following</w:t>
      </w:r>
      <w:r w:rsidR="00DD3BCC">
        <w:t xml:space="preserve"> guidelines, verbatim</w:t>
      </w:r>
      <w:r w:rsidRPr="00D54262">
        <w:t>;</w:t>
      </w:r>
    </w:p>
    <w:p w14:paraId="5C46FA09" w14:textId="5584D99B" w:rsidR="00164DC8" w:rsidRPr="00D54262" w:rsidRDefault="00164DC8" w:rsidP="00A409CA">
      <w:pPr>
        <w:pStyle w:val="Response"/>
        <w:spacing w:before="0" w:after="0"/>
        <w:ind w:left="720" w:hanging="360"/>
      </w:pPr>
      <w:r>
        <w:t>1.</w:t>
      </w:r>
      <w:r>
        <w:tab/>
      </w:r>
      <w:r w:rsidRPr="00D54262">
        <w:t>All persons ≥</w:t>
      </w:r>
      <w:r w:rsidR="00647360">
        <w:t> </w:t>
      </w:r>
      <w:r w:rsidRPr="00D54262">
        <w:t>6 months</w:t>
      </w:r>
      <w:r w:rsidR="00647360">
        <w:t xml:space="preserve"> old</w:t>
      </w:r>
      <w:r w:rsidRPr="00D54262">
        <w:t xml:space="preserve"> should receive</w:t>
      </w:r>
      <w:r w:rsidR="00647360">
        <w:t xml:space="preserve"> the</w:t>
      </w:r>
      <w:r w:rsidRPr="00D54262">
        <w:t xml:space="preserve"> influenza vaccine annually. Influenza vaccination should not be delayed to procure a specific vaccine preparation if an appropriate one is already available.</w:t>
      </w:r>
    </w:p>
    <w:p w14:paraId="29F3131F" w14:textId="03B1BDAC" w:rsidR="00164DC8" w:rsidRPr="00D54262" w:rsidRDefault="00164DC8" w:rsidP="00A409CA">
      <w:pPr>
        <w:pStyle w:val="Response"/>
        <w:spacing w:before="0" w:after="0"/>
        <w:ind w:left="720" w:hanging="360"/>
      </w:pPr>
      <w:r>
        <w:t>2.</w:t>
      </w:r>
      <w:r>
        <w:tab/>
      </w:r>
      <w:r w:rsidRPr="00D54262">
        <w:t xml:space="preserve">For healthy children 2 </w:t>
      </w:r>
      <w:r w:rsidR="00647360">
        <w:t xml:space="preserve">to </w:t>
      </w:r>
      <w:r w:rsidRPr="00D54262">
        <w:t>8 years</w:t>
      </w:r>
      <w:r w:rsidR="00C8549D">
        <w:t xml:space="preserve"> of ag</w:t>
      </w:r>
      <w:r w:rsidR="00647360">
        <w:t>e</w:t>
      </w:r>
      <w:r w:rsidRPr="00D54262">
        <w:t xml:space="preserve"> who have no contraindications or precautions, either LAIV or IIV is an appropriate option. No preference is expressed for LAIV or IIV for any person 2 </w:t>
      </w:r>
      <w:r w:rsidR="00647360">
        <w:t>to</w:t>
      </w:r>
      <w:r w:rsidR="00647360" w:rsidRPr="00D54262">
        <w:t xml:space="preserve"> </w:t>
      </w:r>
      <w:r w:rsidRPr="00D54262">
        <w:t>49 years</w:t>
      </w:r>
      <w:r w:rsidR="00647360">
        <w:t xml:space="preserve"> of age</w:t>
      </w:r>
      <w:r w:rsidRPr="00D54262">
        <w:t xml:space="preserve"> for whom either vaccine is appropriate. An age-appropriate formulation of vaccine should be used.</w:t>
      </w:r>
    </w:p>
    <w:p w14:paraId="6D315CA8" w14:textId="77777777" w:rsidR="00164DC8" w:rsidRPr="00D54262" w:rsidRDefault="00164DC8" w:rsidP="00A409CA">
      <w:pPr>
        <w:pStyle w:val="Response"/>
        <w:spacing w:before="0" w:after="0"/>
        <w:ind w:left="720" w:hanging="360"/>
      </w:pPr>
      <w:r>
        <w:t>3.</w:t>
      </w:r>
      <w:r>
        <w:tab/>
      </w:r>
      <w:r w:rsidRPr="00D54262">
        <w:t>LAIV should not be used in the following populations:</w:t>
      </w:r>
    </w:p>
    <w:p w14:paraId="19BC956A" w14:textId="3E1295E2" w:rsidR="00164DC8" w:rsidRPr="00D54262" w:rsidRDefault="00164DC8" w:rsidP="00A409CA">
      <w:pPr>
        <w:pStyle w:val="Response"/>
        <w:numPr>
          <w:ilvl w:val="0"/>
          <w:numId w:val="25"/>
        </w:numPr>
        <w:spacing w:before="0" w:after="0"/>
        <w:ind w:left="1080"/>
      </w:pPr>
      <w:r w:rsidRPr="00D54262">
        <w:t xml:space="preserve">Persons </w:t>
      </w:r>
      <w:r w:rsidR="00647360">
        <w:t xml:space="preserve">less than </w:t>
      </w:r>
      <w:r w:rsidRPr="00D54262">
        <w:t>2 years</w:t>
      </w:r>
      <w:r w:rsidR="00647360">
        <w:t xml:space="preserve"> old</w:t>
      </w:r>
      <w:r w:rsidRPr="00D54262">
        <w:t xml:space="preserve"> or </w:t>
      </w:r>
      <w:r w:rsidR="00647360">
        <w:t xml:space="preserve">more than </w:t>
      </w:r>
      <w:r w:rsidRPr="00D54262">
        <w:t>49 years</w:t>
      </w:r>
      <w:r w:rsidR="00647360">
        <w:t xml:space="preserve"> old</w:t>
      </w:r>
      <w:r w:rsidR="00C8549D">
        <w:t>.</w:t>
      </w:r>
    </w:p>
    <w:p w14:paraId="72BCCB10" w14:textId="77777777" w:rsidR="00164DC8" w:rsidRPr="00D54262" w:rsidRDefault="00164DC8" w:rsidP="00A409CA">
      <w:pPr>
        <w:pStyle w:val="Response"/>
        <w:numPr>
          <w:ilvl w:val="0"/>
          <w:numId w:val="24"/>
        </w:numPr>
        <w:spacing w:before="0" w:after="0"/>
        <w:ind w:left="1080"/>
      </w:pPr>
      <w:r w:rsidRPr="00D54262">
        <w:t>Persons with contraindications listed in the package insert:</w:t>
      </w:r>
    </w:p>
    <w:p w14:paraId="4FC7108F" w14:textId="44E08956" w:rsidR="00164DC8" w:rsidRPr="00D54262" w:rsidRDefault="00164DC8" w:rsidP="00A409CA">
      <w:pPr>
        <w:pStyle w:val="Response"/>
        <w:numPr>
          <w:ilvl w:val="0"/>
          <w:numId w:val="28"/>
        </w:numPr>
        <w:spacing w:before="0" w:after="0"/>
      </w:pPr>
      <w:r w:rsidRPr="00D54262">
        <w:t xml:space="preserve">Children 2 </w:t>
      </w:r>
      <w:r w:rsidR="00647360">
        <w:t>to</w:t>
      </w:r>
      <w:r w:rsidR="00647360" w:rsidRPr="00D54262">
        <w:t xml:space="preserve"> </w:t>
      </w:r>
      <w:r w:rsidRPr="00D54262">
        <w:t>17 years</w:t>
      </w:r>
      <w:r w:rsidR="00647360">
        <w:t xml:space="preserve"> of age</w:t>
      </w:r>
      <w:r w:rsidRPr="00D54262">
        <w:t xml:space="preserve"> who are receiving aspirin or aspirin-containing products</w:t>
      </w:r>
      <w:r w:rsidR="00C8549D">
        <w:t>.</w:t>
      </w:r>
    </w:p>
    <w:p w14:paraId="1008B8F8" w14:textId="5113CE8A" w:rsidR="00FD6C7C" w:rsidRDefault="00164DC8" w:rsidP="00A409CA">
      <w:pPr>
        <w:pStyle w:val="Response"/>
        <w:numPr>
          <w:ilvl w:val="0"/>
          <w:numId w:val="28"/>
        </w:numPr>
        <w:spacing w:before="0" w:after="0"/>
      </w:pPr>
      <w:r w:rsidRPr="00D54262">
        <w:t>Persons who have experienced severe allergic reactions to the vaccine or any of its components, or to a previous dose of any influenza vaccine</w:t>
      </w:r>
      <w:r w:rsidR="00C8549D">
        <w:t>.</w:t>
      </w:r>
    </w:p>
    <w:p w14:paraId="186F649C" w14:textId="1C2594C9" w:rsidR="00164DC8" w:rsidRPr="00D54262" w:rsidRDefault="00164DC8" w:rsidP="00A409CA">
      <w:pPr>
        <w:pStyle w:val="Response"/>
        <w:numPr>
          <w:ilvl w:val="0"/>
          <w:numId w:val="28"/>
        </w:numPr>
        <w:spacing w:before="0" w:after="0"/>
      </w:pPr>
      <w:r w:rsidRPr="00F227E0">
        <w:t>2016 ACIP guidelines update: “Persons aged ≥18 years with egg allergy of any severity may receive the recombinant influenza vaccine (RIV) because it does not contain any egg protein. Persons with hives-only allergy to eggs may receive the inactivated influenza vaccine (IIV) with additional safety measures.” (</w:t>
      </w:r>
      <w:r w:rsidR="00DD3BCC">
        <w:t xml:space="preserve">Kim, Bridges </w:t>
      </w:r>
      <w:r w:rsidR="00BB2384">
        <w:t>and</w:t>
      </w:r>
      <w:r w:rsidR="00DD3BCC">
        <w:t xml:space="preserve"> Harriman</w:t>
      </w:r>
      <w:r w:rsidR="007F6F9E">
        <w:t>,</w:t>
      </w:r>
      <w:r w:rsidRPr="00F227E0">
        <w:t xml:space="preserve"> 2016)</w:t>
      </w:r>
    </w:p>
    <w:p w14:paraId="0473611C" w14:textId="75018FA4" w:rsidR="00164DC8" w:rsidRPr="00D54262" w:rsidRDefault="00164DC8" w:rsidP="00A409CA">
      <w:pPr>
        <w:pStyle w:val="Response"/>
        <w:numPr>
          <w:ilvl w:val="0"/>
          <w:numId w:val="28"/>
        </w:numPr>
        <w:spacing w:before="0" w:after="0"/>
      </w:pPr>
      <w:r w:rsidRPr="00D54262">
        <w:t>Pregnant women</w:t>
      </w:r>
      <w:r w:rsidR="00C8549D">
        <w:t>.</w:t>
      </w:r>
    </w:p>
    <w:p w14:paraId="596117A2" w14:textId="57F079E4" w:rsidR="00164DC8" w:rsidRPr="00D54262" w:rsidRDefault="00164DC8" w:rsidP="00A409CA">
      <w:pPr>
        <w:pStyle w:val="Response"/>
        <w:numPr>
          <w:ilvl w:val="0"/>
          <w:numId w:val="24"/>
        </w:numPr>
        <w:spacing w:before="0" w:after="0"/>
        <w:ind w:left="1080"/>
      </w:pPr>
      <w:r w:rsidRPr="00D54262">
        <w:t>Immunocompromised persons</w:t>
      </w:r>
      <w:r w:rsidR="00C8549D">
        <w:t>.</w:t>
      </w:r>
    </w:p>
    <w:p w14:paraId="7CD47EFC" w14:textId="3F810EA6" w:rsidR="00164DC8" w:rsidRPr="00D54262" w:rsidRDefault="00164DC8" w:rsidP="00A409CA">
      <w:pPr>
        <w:pStyle w:val="Response"/>
        <w:numPr>
          <w:ilvl w:val="0"/>
          <w:numId w:val="24"/>
        </w:numPr>
        <w:spacing w:before="0" w:after="0"/>
        <w:ind w:left="1080"/>
      </w:pPr>
      <w:r w:rsidRPr="00D54262">
        <w:t>Persons with a history of egg allergy</w:t>
      </w:r>
      <w:r w:rsidR="00C8549D">
        <w:t>.</w:t>
      </w:r>
    </w:p>
    <w:p w14:paraId="7F188147" w14:textId="2FDF7FA0" w:rsidR="00A409CA" w:rsidRDefault="00164DC8" w:rsidP="00A409CA">
      <w:pPr>
        <w:pStyle w:val="Response"/>
        <w:numPr>
          <w:ilvl w:val="0"/>
          <w:numId w:val="24"/>
        </w:numPr>
        <w:spacing w:before="0" w:after="0"/>
        <w:ind w:left="1080"/>
      </w:pPr>
      <w:r w:rsidRPr="00D54262">
        <w:t xml:space="preserve">Children 2 </w:t>
      </w:r>
      <w:r w:rsidR="00C8549D">
        <w:t xml:space="preserve">to </w:t>
      </w:r>
      <w:r w:rsidRPr="00D54262">
        <w:t>4 years</w:t>
      </w:r>
      <w:r w:rsidR="00C8549D">
        <w:t xml:space="preserve"> of age</w:t>
      </w:r>
      <w:r w:rsidRPr="00D54262">
        <w:t xml:space="preserve"> who have asthma or had a wheezing episode noted in the medical record within the past 12 months, or for whom parents report that a health care provider stated that they had wheezing or asthma within last 12 months. For persons ≥</w:t>
      </w:r>
      <w:r w:rsidR="00C8549D">
        <w:t> </w:t>
      </w:r>
      <w:r w:rsidRPr="00D54262">
        <w:t>5 years</w:t>
      </w:r>
      <w:r w:rsidR="00C8549D">
        <w:t xml:space="preserve"> old</w:t>
      </w:r>
      <w:r w:rsidRPr="00D54262">
        <w:t xml:space="preserve"> with asthma, recommendations are described below in item 4</w:t>
      </w:r>
      <w:r w:rsidR="00C8549D">
        <w:t>.</w:t>
      </w:r>
    </w:p>
    <w:p w14:paraId="6A248B2F" w14:textId="11B5B8EA" w:rsidR="00164DC8" w:rsidRPr="00D54262" w:rsidRDefault="00164DC8" w:rsidP="00A409CA">
      <w:pPr>
        <w:pStyle w:val="Response"/>
        <w:numPr>
          <w:ilvl w:val="0"/>
          <w:numId w:val="24"/>
        </w:numPr>
        <w:spacing w:before="0" w:after="0"/>
        <w:ind w:left="1080"/>
      </w:pPr>
      <w:r w:rsidRPr="00D54262">
        <w:t xml:space="preserve">Persons who have taken influenza antiviral medications within </w:t>
      </w:r>
      <w:r w:rsidR="00C8549D">
        <w:t xml:space="preserve">the </w:t>
      </w:r>
      <w:r w:rsidRPr="00D54262">
        <w:t>previous 48 hours.</w:t>
      </w:r>
    </w:p>
    <w:p w14:paraId="16FC76CC" w14:textId="041188A4" w:rsidR="00164DC8" w:rsidRPr="00D54262" w:rsidRDefault="00A409CA" w:rsidP="00A409CA">
      <w:pPr>
        <w:pStyle w:val="Response"/>
        <w:spacing w:before="0" w:after="0"/>
        <w:ind w:left="720" w:hanging="360"/>
      </w:pPr>
      <w:r>
        <w:t>4.</w:t>
      </w:r>
      <w:r>
        <w:tab/>
      </w:r>
      <w:r w:rsidR="00164DC8" w:rsidRPr="00D54262">
        <w:t>In addition to the groups for whom LAIV is not recommended above, the "Warnings and Precautions" section of the LAIV package insert indicates that persons of any age with asthma might be at increased risk for wheezing after administration of LAIV</w:t>
      </w:r>
      <w:r w:rsidR="00164DC8">
        <w:t xml:space="preserve"> (Ambrose, Levin</w:t>
      </w:r>
      <w:r w:rsidR="007F6F9E">
        <w:t>,</w:t>
      </w:r>
      <w:r w:rsidR="00164DC8">
        <w:t xml:space="preserve"> </w:t>
      </w:r>
      <w:r w:rsidR="00BB2384">
        <w:t>and</w:t>
      </w:r>
      <w:r w:rsidR="007F6F9E">
        <w:t xml:space="preserve"> </w:t>
      </w:r>
      <w:r w:rsidR="00164DC8">
        <w:t>Belshe</w:t>
      </w:r>
      <w:r w:rsidR="007F6F9E">
        <w:t>,</w:t>
      </w:r>
      <w:r w:rsidR="00164DC8">
        <w:t xml:space="preserve"> 2011)</w:t>
      </w:r>
      <w:r w:rsidR="00164DC8" w:rsidRPr="00D54262">
        <w:t>. The package insert also notes that the safety of LAIV in persons with other underlying medical conditions that might predispose them to complications after wild-type influenza virus infection (e.g., chronic pulmonary, cardiovascular [except isolated hypertension], renal, hepatic, neurologic, hematologic, or metabolic disorders [including diabetes mellitus]), has not been established</w:t>
      </w:r>
      <w:r w:rsidR="00164DC8">
        <w:t xml:space="preserve"> (Medimmune</w:t>
      </w:r>
      <w:r w:rsidR="007F6F9E">
        <w:t>,</w:t>
      </w:r>
      <w:r w:rsidR="00164DC8">
        <w:t xml:space="preserve"> 2015)</w:t>
      </w:r>
      <w:r w:rsidR="00164DC8" w:rsidRPr="00D54262">
        <w:t>. These conditions, in addition to asthma in persons ≥</w:t>
      </w:r>
      <w:r w:rsidR="00C8549D">
        <w:t> </w:t>
      </w:r>
      <w:r w:rsidR="00164DC8" w:rsidRPr="00D54262">
        <w:t>5 years</w:t>
      </w:r>
      <w:r w:rsidR="00C8549D">
        <w:t xml:space="preserve"> old</w:t>
      </w:r>
      <w:r w:rsidR="00164DC8" w:rsidRPr="00D54262">
        <w:t>, should be considered precautions for the use of LAIV.</w:t>
      </w:r>
    </w:p>
    <w:p w14:paraId="6E663916" w14:textId="77777777" w:rsidR="00164DC8" w:rsidRPr="00D54262" w:rsidRDefault="00A409CA" w:rsidP="00A409CA">
      <w:pPr>
        <w:pStyle w:val="Response"/>
        <w:spacing w:before="0" w:after="0"/>
        <w:ind w:left="720" w:hanging="360"/>
      </w:pPr>
      <w:r>
        <w:t>5.</w:t>
      </w:r>
      <w:r>
        <w:tab/>
      </w:r>
      <w:r w:rsidR="00164DC8" w:rsidRPr="00D54262">
        <w:t>Persons who care for severely immunosuppressed persons who require a protective environment should not receive LAIV, or should avoid contact with such persons for 7 days after receipt, given the theoretical risk for transmission of the LAIV virus to close contacts.</w:t>
      </w:r>
    </w:p>
    <w:p w14:paraId="268EB3F8" w14:textId="77777777" w:rsidR="00C5731D" w:rsidRDefault="00C5731D" w:rsidP="008F63E3">
      <w:pPr>
        <w:pStyle w:val="Response"/>
        <w:spacing w:before="120" w:after="120"/>
        <w:ind w:left="0" w:firstLine="0"/>
      </w:pPr>
    </w:p>
    <w:p w14:paraId="7B51649F" w14:textId="6464684C" w:rsidR="008F63E3" w:rsidRPr="00F227E0" w:rsidRDefault="008F63E3" w:rsidP="008F63E3">
      <w:pPr>
        <w:pStyle w:val="Response"/>
        <w:spacing w:before="120" w:after="120"/>
        <w:ind w:left="0" w:firstLine="0"/>
        <w:rPr>
          <w:lang w:val="en"/>
        </w:rPr>
      </w:pPr>
      <w:r w:rsidRPr="001B5B10">
        <w:rPr>
          <w:lang w:val="en"/>
        </w:rPr>
        <w:t xml:space="preserve">Ambrose, C. S., Levin, M. J., </w:t>
      </w:r>
      <w:r w:rsidR="00251A7D">
        <w:rPr>
          <w:lang w:val="en"/>
        </w:rPr>
        <w:t>and</w:t>
      </w:r>
      <w:r w:rsidRPr="001B5B10">
        <w:rPr>
          <w:lang w:val="en"/>
        </w:rPr>
        <w:t xml:space="preserve"> Belshe, R. B. (2011). The relative efficacy of trivalent live attenuated and inactivated influenza vaccines in children and adults. </w:t>
      </w:r>
      <w:r w:rsidRPr="001B5B10">
        <w:rPr>
          <w:i/>
          <w:lang w:val="en"/>
        </w:rPr>
        <w:t>Influenza and Other Respiratory Viruses</w:t>
      </w:r>
      <w:r w:rsidRPr="001B5B10">
        <w:rPr>
          <w:lang w:val="en"/>
        </w:rPr>
        <w:t xml:space="preserve">, </w:t>
      </w:r>
      <w:r w:rsidRPr="001B5B10">
        <w:rPr>
          <w:i/>
          <w:lang w:val="en"/>
        </w:rPr>
        <w:t>5</w:t>
      </w:r>
      <w:r w:rsidRPr="001B5B10">
        <w:rPr>
          <w:lang w:val="en"/>
        </w:rPr>
        <w:t>(2), 67–75. doi:10.1111/j.1750-2659.2010.00183.x</w:t>
      </w:r>
    </w:p>
    <w:p w14:paraId="7C8E3406" w14:textId="1CA84420" w:rsidR="008F63E3" w:rsidRPr="00F227E0" w:rsidRDefault="008F63E3" w:rsidP="008F63E3">
      <w:pPr>
        <w:pStyle w:val="Response"/>
        <w:spacing w:before="120" w:after="120"/>
        <w:ind w:left="0" w:firstLine="0"/>
        <w:rPr>
          <w:b/>
        </w:rPr>
      </w:pPr>
      <w:r w:rsidRPr="001B5B10">
        <w:rPr>
          <w:lang w:val="en"/>
        </w:rPr>
        <w:t xml:space="preserve">Castilla, J., Martínez-Baz, I., Martínez-Artola, V., Reina, G., Pozo, F., García Cenoz, M., Barricarte, A., </w:t>
      </w:r>
      <w:r w:rsidR="00251A7D">
        <w:rPr>
          <w:lang w:val="en"/>
        </w:rPr>
        <w:t>and</w:t>
      </w:r>
      <w:r w:rsidRPr="001B5B10">
        <w:rPr>
          <w:lang w:val="en"/>
        </w:rPr>
        <w:t xml:space="preserve"> the Primary Health Care Sentinel Network, </w:t>
      </w:r>
      <w:r w:rsidR="00251A7D">
        <w:rPr>
          <w:lang w:val="en"/>
        </w:rPr>
        <w:t>and</w:t>
      </w:r>
      <w:r w:rsidRPr="001B5B10">
        <w:rPr>
          <w:lang w:val="en"/>
        </w:rPr>
        <w:t xml:space="preserve"> the Network for Influenza Surveillance in Hospitals of Navarre. (2013, January 31). Decline in influenza vaccine effectiveness with time after vaccination, Navarre, Spain, season 2011/12. </w:t>
      </w:r>
      <w:r w:rsidRPr="001B5B10">
        <w:rPr>
          <w:i/>
          <w:lang w:val="en"/>
        </w:rPr>
        <w:t>Eurosurveillance</w:t>
      </w:r>
      <w:r w:rsidRPr="001B5B10">
        <w:rPr>
          <w:lang w:val="en"/>
        </w:rPr>
        <w:t xml:space="preserve">, </w:t>
      </w:r>
      <w:r w:rsidRPr="001B5B10">
        <w:rPr>
          <w:i/>
          <w:lang w:val="en"/>
        </w:rPr>
        <w:t>18</w:t>
      </w:r>
      <w:r w:rsidRPr="001B5B10">
        <w:rPr>
          <w:lang w:val="en"/>
        </w:rPr>
        <w:t>(5), 20388.</w:t>
      </w:r>
    </w:p>
    <w:p w14:paraId="766ECB94" w14:textId="77777777" w:rsidR="008F63E3" w:rsidRDefault="008F63E3" w:rsidP="008F63E3">
      <w:pPr>
        <w:pStyle w:val="Response"/>
        <w:spacing w:before="120" w:after="120"/>
        <w:ind w:left="0" w:firstLine="0"/>
        <w:rPr>
          <w:b/>
        </w:rPr>
      </w:pPr>
      <w:r>
        <w:t xml:space="preserve">Centers for Disease Control and Prevention (CDC). (2013). Prevention and control of seasonal influenza with vaccines. Recommendations of the Advisory Committee on Immunization Practices--United States, 2013-2014. </w:t>
      </w:r>
      <w:r w:rsidRPr="00583402">
        <w:rPr>
          <w:i/>
        </w:rPr>
        <w:t>MMWR Recomm</w:t>
      </w:r>
      <w:r>
        <w:rPr>
          <w:i/>
        </w:rPr>
        <w:t>endations and</w:t>
      </w:r>
      <w:r w:rsidRPr="00583402">
        <w:rPr>
          <w:i/>
        </w:rPr>
        <w:t xml:space="preserve"> Rep</w:t>
      </w:r>
      <w:r>
        <w:rPr>
          <w:i/>
        </w:rPr>
        <w:t>orts</w:t>
      </w:r>
      <w:r>
        <w:t xml:space="preserve">, </w:t>
      </w:r>
      <w:r w:rsidRPr="00583402">
        <w:rPr>
          <w:i/>
        </w:rPr>
        <w:t>62</w:t>
      </w:r>
      <w:r>
        <w:t xml:space="preserve">(RR-07), 1–43. Retrieved from </w:t>
      </w:r>
      <w:hyperlink r:id="rId23" w:history="1">
        <w:r w:rsidRPr="00D544C0">
          <w:rPr>
            <w:rStyle w:val="Hyperlink"/>
          </w:rPr>
          <w:t>http://www.ncbi.nlm.nih.gov/pubmed/24048214</w:t>
        </w:r>
      </w:hyperlink>
      <w:r>
        <w:t>.</w:t>
      </w:r>
    </w:p>
    <w:p w14:paraId="1384E148" w14:textId="7E4A47ED" w:rsidR="008F63E3" w:rsidRDefault="008F63E3" w:rsidP="008F63E3">
      <w:pPr>
        <w:pStyle w:val="Response"/>
        <w:spacing w:before="120" w:after="120"/>
        <w:ind w:left="0" w:firstLine="0"/>
      </w:pPr>
      <w:r w:rsidRPr="00583402">
        <w:t xml:space="preserve">Grohskopf, L. A., Sokolow, L. Z., Olsen, S. J., Bresee, J. S., Broder, K. R., </w:t>
      </w:r>
      <w:r w:rsidR="00251A7D">
        <w:t>and</w:t>
      </w:r>
      <w:r w:rsidRPr="00583402">
        <w:t xml:space="preserve"> Karron, R. A. (2015</w:t>
      </w:r>
      <w:r>
        <w:t>, August 7</w:t>
      </w:r>
      <w:r w:rsidRPr="00583402">
        <w:t xml:space="preserve">). </w:t>
      </w:r>
      <w:r>
        <w:t xml:space="preserve">Prevention and control of seasonal influenza with vaccines: recommendations of the Advisory Committee on Immunization Practices (ACIP)—United States, 2015–2016. </w:t>
      </w:r>
      <w:r w:rsidRPr="00583402">
        <w:rPr>
          <w:i/>
        </w:rPr>
        <w:t>MMWR. Morbidity and Mortality Weekly Report</w:t>
      </w:r>
      <w:r>
        <w:t xml:space="preserve">, </w:t>
      </w:r>
      <w:r w:rsidRPr="00583402">
        <w:rPr>
          <w:i/>
        </w:rPr>
        <w:t>64</w:t>
      </w:r>
      <w:r>
        <w:t>(30), 818–825. http://www.cdc.gov/mmwr/preview/mmwrhtml/mm6430a3.htm</w:t>
      </w:r>
    </w:p>
    <w:p w14:paraId="6BC34C03" w14:textId="02B65A2B" w:rsidR="008F63E3" w:rsidRPr="00F227E0" w:rsidRDefault="008F63E3" w:rsidP="008F63E3">
      <w:pPr>
        <w:pStyle w:val="Response"/>
        <w:spacing w:before="120" w:after="120"/>
        <w:ind w:left="0" w:firstLine="0"/>
        <w:rPr>
          <w:lang w:val="en"/>
        </w:rPr>
      </w:pPr>
      <w:r w:rsidRPr="00FD6C7C">
        <w:rPr>
          <w:lang w:val="en"/>
        </w:rPr>
        <w:t xml:space="preserve">Kim, D. K., Bridges, C. B., </w:t>
      </w:r>
      <w:r w:rsidR="00251A7D">
        <w:rPr>
          <w:lang w:val="en"/>
        </w:rPr>
        <w:t>and</w:t>
      </w:r>
      <w:r w:rsidRPr="00FD6C7C">
        <w:rPr>
          <w:lang w:val="en"/>
        </w:rPr>
        <w:t xml:space="preserve"> Harriman, K. H. (2016). Advisory Committee on Immunization Practices </w:t>
      </w:r>
      <w:r w:rsidR="0096727B" w:rsidRPr="00FD6C7C">
        <w:rPr>
          <w:lang w:val="en"/>
        </w:rPr>
        <w:t>recommended immunization schedule for adults age</w:t>
      </w:r>
      <w:r w:rsidRPr="00FD6C7C">
        <w:rPr>
          <w:lang w:val="en"/>
        </w:rPr>
        <w:t xml:space="preserve">d 19 </w:t>
      </w:r>
      <w:r w:rsidR="0096727B" w:rsidRPr="00FD6C7C">
        <w:rPr>
          <w:lang w:val="en"/>
        </w:rPr>
        <w:t>years or ol</w:t>
      </w:r>
      <w:r w:rsidRPr="00FD6C7C">
        <w:rPr>
          <w:lang w:val="en"/>
        </w:rPr>
        <w:t>der</w:t>
      </w:r>
      <w:r>
        <w:rPr>
          <w:lang w:val="en"/>
        </w:rPr>
        <w:t>—</w:t>
      </w:r>
      <w:r w:rsidRPr="00FD6C7C">
        <w:rPr>
          <w:lang w:val="en"/>
        </w:rPr>
        <w:t xml:space="preserve">United States, 2016. </w:t>
      </w:r>
      <w:r w:rsidRPr="00FD6C7C">
        <w:rPr>
          <w:i/>
          <w:lang w:val="en"/>
        </w:rPr>
        <w:t>MMWR. Morbidity and Mortality Weekly Report</w:t>
      </w:r>
      <w:r w:rsidRPr="00FD6C7C">
        <w:rPr>
          <w:lang w:val="en"/>
        </w:rPr>
        <w:t xml:space="preserve">, </w:t>
      </w:r>
      <w:r w:rsidRPr="00FD6C7C">
        <w:rPr>
          <w:i/>
          <w:lang w:val="en"/>
        </w:rPr>
        <w:t>65</w:t>
      </w:r>
      <w:r w:rsidRPr="00FD6C7C">
        <w:rPr>
          <w:lang w:val="en"/>
        </w:rPr>
        <w:t>(4), 88–90. doi:10.15585/mmwr.mm6504a5</w:t>
      </w:r>
    </w:p>
    <w:p w14:paraId="3E480C85" w14:textId="77777777" w:rsidR="008F63E3" w:rsidRPr="00F227E0" w:rsidRDefault="008F63E3" w:rsidP="008F63E3">
      <w:pPr>
        <w:pStyle w:val="Response"/>
        <w:spacing w:before="120"/>
        <w:ind w:left="0" w:firstLine="0"/>
        <w:rPr>
          <w:lang w:val="en"/>
        </w:rPr>
      </w:pPr>
      <w:r w:rsidRPr="00F227E0">
        <w:rPr>
          <w:lang w:val="en"/>
        </w:rPr>
        <w:t xml:space="preserve">Medimmune. </w:t>
      </w:r>
      <w:r>
        <w:rPr>
          <w:lang w:val="en"/>
        </w:rPr>
        <w:t xml:space="preserve">(2015). </w:t>
      </w:r>
      <w:r w:rsidRPr="00F227E0">
        <w:rPr>
          <w:lang w:val="en"/>
        </w:rPr>
        <w:t>Flumist Quadrivalent [Draft of package insert]. Gaithersburg, MD</w:t>
      </w:r>
      <w:r>
        <w:rPr>
          <w:lang w:val="en"/>
        </w:rPr>
        <w:t xml:space="preserve">. Retrieved from </w:t>
      </w:r>
      <w:r w:rsidRPr="001B5B10">
        <w:t>http://www.fda.gov/downloads/BiologicsBloodVaccines/Vaccines/ApprovedProducts/</w:t>
      </w:r>
      <w:r w:rsidRPr="001B5B10">
        <w:br/>
        <w:t>UCM294307.pdf</w:t>
      </w:r>
    </w:p>
    <w:p w14:paraId="6D1526DA" w14:textId="28617483" w:rsidR="008F63E3" w:rsidRPr="00F227E0" w:rsidRDefault="008F63E3" w:rsidP="008F63E3">
      <w:pPr>
        <w:pStyle w:val="Response"/>
        <w:spacing w:before="120" w:after="120"/>
        <w:ind w:left="0" w:firstLine="0"/>
        <w:rPr>
          <w:b/>
        </w:rPr>
      </w:pPr>
      <w:r w:rsidRPr="007F6F9E">
        <w:rPr>
          <w:lang w:val="en"/>
        </w:rPr>
        <w:t xml:space="preserve">Skowronski, D. M., Tweed, S. A., </w:t>
      </w:r>
      <w:r w:rsidR="00251A7D">
        <w:rPr>
          <w:lang w:val="en"/>
        </w:rPr>
        <w:t>and</w:t>
      </w:r>
      <w:r w:rsidRPr="007F6F9E">
        <w:rPr>
          <w:lang w:val="en"/>
        </w:rPr>
        <w:t xml:space="preserve"> De Serres, G. (2008). Rapid decline of influenza vaccine-in</w:t>
      </w:r>
      <w:r w:rsidR="0096727B">
        <w:rPr>
          <w:lang w:val="en"/>
        </w:rPr>
        <w:t>duced antibody in the elderly: I</w:t>
      </w:r>
      <w:r w:rsidRPr="007F6F9E">
        <w:rPr>
          <w:lang w:val="en"/>
        </w:rPr>
        <w:t xml:space="preserve">s it real, or is it relevant? </w:t>
      </w:r>
      <w:r w:rsidRPr="007F6F9E">
        <w:rPr>
          <w:i/>
          <w:lang w:val="en"/>
        </w:rPr>
        <w:t>Journal of Infectious Diseases</w:t>
      </w:r>
      <w:r w:rsidRPr="007F6F9E">
        <w:rPr>
          <w:lang w:val="en"/>
        </w:rPr>
        <w:t xml:space="preserve">, </w:t>
      </w:r>
      <w:r w:rsidRPr="007F6F9E">
        <w:rPr>
          <w:i/>
          <w:lang w:val="en"/>
        </w:rPr>
        <w:t>197</w:t>
      </w:r>
      <w:r w:rsidRPr="007F6F9E">
        <w:rPr>
          <w:lang w:val="en"/>
        </w:rPr>
        <w:t>(4), 490</w:t>
      </w:r>
      <w:r>
        <w:rPr>
          <w:lang w:val="en"/>
        </w:rPr>
        <w:t>–</w:t>
      </w:r>
      <w:r w:rsidRPr="007F6F9E">
        <w:rPr>
          <w:lang w:val="en"/>
        </w:rPr>
        <w:t>502. doi:10.1086/524146</w:t>
      </w:r>
    </w:p>
    <w:p w14:paraId="5F805F8C" w14:textId="30D9A37B" w:rsidR="008F63E3" w:rsidRPr="008F63E3" w:rsidRDefault="008F63E3" w:rsidP="008F63E3">
      <w:pPr>
        <w:pStyle w:val="Response"/>
        <w:spacing w:before="120" w:after="120"/>
        <w:ind w:left="0" w:firstLine="0"/>
        <w:rPr>
          <w:b/>
        </w:rPr>
      </w:pPr>
      <w:r w:rsidRPr="007F6F9E">
        <w:t xml:space="preserve">Song, J. Y., Cheong, H. J., Hwang, I. S., Choi, W. S., Jo, Y. M., Park, D. W., </w:t>
      </w:r>
      <w:r w:rsidR="00251A7D">
        <w:t xml:space="preserve">and </w:t>
      </w:r>
      <w:r w:rsidRPr="007F6F9E">
        <w:t xml:space="preserve">Kim, W. J. (2010). Long-term immunogenicity of influenza vaccine among the elderly: Risk factors for poor immune response and persistence. </w:t>
      </w:r>
      <w:r w:rsidRPr="007F6F9E">
        <w:rPr>
          <w:i/>
        </w:rPr>
        <w:t>Vaccine</w:t>
      </w:r>
      <w:r w:rsidRPr="007F6F9E">
        <w:t xml:space="preserve">, </w:t>
      </w:r>
      <w:r w:rsidRPr="007F6F9E">
        <w:rPr>
          <w:i/>
        </w:rPr>
        <w:t>28</w:t>
      </w:r>
      <w:r w:rsidRPr="007F6F9E">
        <w:t>(23), 3929</w:t>
      </w:r>
      <w:r>
        <w:t>–</w:t>
      </w:r>
      <w:r w:rsidRPr="007F6F9E">
        <w:t>3935. doi:10.1016/j.vaccine.2010.03.067</w:t>
      </w:r>
    </w:p>
    <w:p w14:paraId="578AAE48" w14:textId="77777777" w:rsidR="00D94795" w:rsidRDefault="00B058A6" w:rsidP="00D94795">
      <w:pPr>
        <w:pStyle w:val="Question"/>
      </w:pPr>
      <w:r w:rsidRPr="003B1CC5">
        <w:rPr>
          <w:color w:val="0000FF"/>
        </w:rPr>
        <w:t>1</w:t>
      </w:r>
      <w:r w:rsidR="00773485" w:rsidRPr="003B1CC5">
        <w:rPr>
          <w:color w:val="0000FF"/>
        </w:rPr>
        <w:t>a</w:t>
      </w:r>
      <w:r w:rsidRPr="003B1CC5">
        <w:rPr>
          <w:color w:val="0000FF"/>
        </w:rPr>
        <w:t>.4</w:t>
      </w:r>
      <w:r w:rsidR="00265702" w:rsidRPr="003B1CC5">
        <w:rPr>
          <w:color w:val="0000FF"/>
        </w:rPr>
        <w:t>.3</w:t>
      </w:r>
      <w:r w:rsidR="008B51D9" w:rsidRPr="003B1CC5">
        <w:rPr>
          <w:color w:val="0000FF"/>
        </w:rPr>
        <w:t>.</w:t>
      </w:r>
      <w:r w:rsidR="008B51D9" w:rsidRPr="003B1CC5">
        <w:rPr>
          <w:bCs/>
        </w:rPr>
        <w:t xml:space="preserve"> </w:t>
      </w:r>
      <w:r w:rsidR="00496AF8" w:rsidRPr="003B1CC5">
        <w:t xml:space="preserve">Grade assigned to the </w:t>
      </w:r>
      <w:r w:rsidR="00736AEC" w:rsidRPr="003B1CC5">
        <w:t xml:space="preserve">quoted </w:t>
      </w:r>
      <w:r w:rsidR="00496AF8" w:rsidRPr="003B1CC5">
        <w:t xml:space="preserve">recommendation </w:t>
      </w:r>
      <w:r w:rsidR="00496AF8" w:rsidRPr="003B1CC5">
        <w:rPr>
          <w:u w:val="single"/>
        </w:rPr>
        <w:t>with definition</w:t>
      </w:r>
      <w:r w:rsidR="00496AF8" w:rsidRPr="003B1CC5">
        <w:t xml:space="preserve"> of the grade</w:t>
      </w:r>
      <w:r w:rsidR="00FC32D3" w:rsidRPr="003B1CC5">
        <w:t>:</w:t>
      </w:r>
    </w:p>
    <w:p w14:paraId="6E16C74D" w14:textId="72EA2DDD" w:rsidR="00FD6C7C" w:rsidRDefault="00A409CA" w:rsidP="00A409CA">
      <w:pPr>
        <w:pStyle w:val="Response"/>
        <w:spacing w:before="120" w:after="120"/>
        <w:ind w:left="0" w:firstLine="0"/>
      </w:pPr>
      <w:r>
        <w:t>The ACIP unanimously voted during its October 2010 meeting to adopt the GRADE approach for developing evidence-based recommendations. Key factors for developing recommendations include the balance of benefits and harms, type or quality of evidence, values and preferences, and health economic analyses.</w:t>
      </w:r>
    </w:p>
    <w:p w14:paraId="6936708F" w14:textId="1B5384B5" w:rsidR="00A409CA" w:rsidRDefault="00A409CA" w:rsidP="00A409CA">
      <w:pPr>
        <w:pStyle w:val="Response"/>
        <w:spacing w:before="120" w:after="120"/>
        <w:ind w:left="0" w:firstLine="0"/>
      </w:pPr>
      <w:r>
        <w:t>The ACIP recommendation categories are:</w:t>
      </w:r>
    </w:p>
    <w:p w14:paraId="68891742" w14:textId="36FA772E" w:rsidR="00A409CA" w:rsidRDefault="00A409CA" w:rsidP="00D63521">
      <w:pPr>
        <w:pStyle w:val="Response"/>
        <w:spacing w:before="120" w:after="120"/>
        <w:ind w:firstLine="0"/>
      </w:pPr>
      <w:r>
        <w:t>Category A: Recommendation that applies to all persons in an age- or risk-based group.</w:t>
      </w:r>
    </w:p>
    <w:p w14:paraId="5118F32A" w14:textId="5180F8CF" w:rsidR="00FD6C7C" w:rsidRDefault="00A409CA" w:rsidP="00D63521">
      <w:pPr>
        <w:pStyle w:val="Response"/>
        <w:spacing w:before="120" w:after="120"/>
        <w:ind w:firstLine="0"/>
      </w:pPr>
      <w:r>
        <w:t>Category B: Recommendation for individual clinical decision making. No recommendation/unresolved issue.</w:t>
      </w:r>
    </w:p>
    <w:p w14:paraId="2CDFD3FF" w14:textId="03E1EEFD" w:rsidR="00FD6C7C" w:rsidRDefault="00A409CA" w:rsidP="00D63521">
      <w:pPr>
        <w:pStyle w:val="Response"/>
        <w:spacing w:before="120" w:after="120"/>
        <w:ind w:firstLine="0"/>
      </w:pPr>
      <w:r>
        <w:t>Category A recommendations will be made for all persons in an age group or for all persons in a risk-based group. The suggested phrasing for category A recommendations include</w:t>
      </w:r>
      <w:r w:rsidR="00DD3BCC">
        <w:t>s</w:t>
      </w:r>
      <w:r>
        <w:t xml:space="preserve"> the </w:t>
      </w:r>
      <w:r w:rsidR="007030D8">
        <w:t>phrases “</w:t>
      </w:r>
      <w:r>
        <w:t>recommend,</w:t>
      </w:r>
      <w:r w:rsidR="007030D8">
        <w:t>”</w:t>
      </w:r>
      <w:r>
        <w:t xml:space="preserve"> </w:t>
      </w:r>
      <w:r w:rsidR="007030D8">
        <w:t>“</w:t>
      </w:r>
      <w:r>
        <w:t>recommend against,</w:t>
      </w:r>
      <w:r w:rsidR="007030D8">
        <w:t>”</w:t>
      </w:r>
      <w:r>
        <w:t xml:space="preserve"> </w:t>
      </w:r>
      <w:r w:rsidR="007030D8">
        <w:t>“</w:t>
      </w:r>
      <w:r>
        <w:t>should,</w:t>
      </w:r>
      <w:r w:rsidR="007030D8">
        <w:t>”</w:t>
      </w:r>
      <w:r>
        <w:t xml:space="preserve"> and </w:t>
      </w:r>
      <w:r w:rsidR="007030D8">
        <w:t>“</w:t>
      </w:r>
      <w:r>
        <w:t>should not.</w:t>
      </w:r>
      <w:r w:rsidR="007030D8">
        <w:t>”</w:t>
      </w:r>
    </w:p>
    <w:p w14:paraId="789554BB" w14:textId="5D0B7DCA" w:rsidR="00FD6C7C" w:rsidRDefault="00A409CA" w:rsidP="00D63521">
      <w:pPr>
        <w:pStyle w:val="Response"/>
        <w:spacing w:before="120" w:after="120"/>
        <w:ind w:firstLine="0"/>
      </w:pPr>
      <w:r>
        <w:t>Category B recommendations will indicate that clinical decisions should be made on an individual basis</w:t>
      </w:r>
      <w:r w:rsidR="007030D8">
        <w:t>;</w:t>
      </w:r>
      <w:r>
        <w:t xml:space="preserve"> </w:t>
      </w:r>
      <w:r w:rsidR="007030D8">
        <w:t>in other words</w:t>
      </w:r>
      <w:r>
        <w:t>, category B recommendations do not apply to all members of a group, but are used in context of clinician</w:t>
      </w:r>
      <w:r w:rsidR="007030D8">
        <w:t>-</w:t>
      </w:r>
      <w:r>
        <w:t xml:space="preserve">patient interaction to determine if vaccination may be appropriate for that patient. Phrasing for category B recommendations includes the words </w:t>
      </w:r>
      <w:r w:rsidR="007030D8">
        <w:t>“</w:t>
      </w:r>
      <w:r>
        <w:t>may</w:t>
      </w:r>
      <w:r w:rsidR="007030D8">
        <w:t>”</w:t>
      </w:r>
      <w:r>
        <w:t xml:space="preserve"> and </w:t>
      </w:r>
      <w:r w:rsidR="007030D8">
        <w:t>“</w:t>
      </w:r>
      <w:r>
        <w:t>suggest against.</w:t>
      </w:r>
      <w:r w:rsidR="007030D8">
        <w:t>”</w:t>
      </w:r>
      <w:r>
        <w:t xml:space="preserve"> In some instances, it is possible that the ACIP may have decided not to make a recommendation if additional information was needed.</w:t>
      </w:r>
    </w:p>
    <w:p w14:paraId="26D2C177" w14:textId="77777777" w:rsidR="00FD6C7C" w:rsidRDefault="00A409CA" w:rsidP="00A409CA">
      <w:pPr>
        <w:pStyle w:val="Response"/>
        <w:spacing w:before="120" w:after="120"/>
        <w:ind w:left="0" w:firstLine="0"/>
      </w:pPr>
      <w:r>
        <w:t>The body of evidence is to be categorized into four types that represent a general hierarchy reflecting the confidence in the estimated effect of vaccination on health outcomes (benefits, harms):</w:t>
      </w:r>
    </w:p>
    <w:p w14:paraId="140658A8" w14:textId="77777777" w:rsidR="00FD6C7C" w:rsidRDefault="00A409CA" w:rsidP="00A409CA">
      <w:pPr>
        <w:pStyle w:val="Response"/>
        <w:spacing w:before="120" w:after="120"/>
      </w:pPr>
      <w:r>
        <w:t>1.</w:t>
      </w:r>
      <w:r>
        <w:tab/>
        <w:t>Randomized controlled trials, or overwhelming evidence from observational studies.</w:t>
      </w:r>
    </w:p>
    <w:p w14:paraId="28C4F180" w14:textId="77777777" w:rsidR="00FD6C7C" w:rsidRDefault="00A409CA" w:rsidP="00A409CA">
      <w:pPr>
        <w:pStyle w:val="Response"/>
        <w:spacing w:before="120" w:after="120"/>
      </w:pPr>
      <w:r>
        <w:t>2.</w:t>
      </w:r>
      <w:r>
        <w:tab/>
        <w:t>Randomized controlled trials with important limitations, or exceptionally strong evidence from observational studies.</w:t>
      </w:r>
    </w:p>
    <w:p w14:paraId="6DC3048D" w14:textId="77777777" w:rsidR="00FD6C7C" w:rsidRDefault="00A409CA" w:rsidP="00A409CA">
      <w:pPr>
        <w:pStyle w:val="Response"/>
        <w:spacing w:before="120" w:after="120"/>
      </w:pPr>
      <w:r>
        <w:t>3.</w:t>
      </w:r>
      <w:r>
        <w:tab/>
        <w:t>Observational studies, or randomized controlled trials with notable limitations.</w:t>
      </w:r>
    </w:p>
    <w:p w14:paraId="194A5076" w14:textId="2671908C" w:rsidR="00015304" w:rsidRPr="00015304" w:rsidRDefault="00A409CA" w:rsidP="00A409CA">
      <w:pPr>
        <w:pStyle w:val="Response"/>
        <w:spacing w:before="120" w:after="120"/>
      </w:pPr>
      <w:r>
        <w:t>4.</w:t>
      </w:r>
      <w:r>
        <w:tab/>
        <w:t>Clinical experience and observations, observational studies with important limitations, or randomized controlled trials with several major limitations.</w:t>
      </w:r>
    </w:p>
    <w:p w14:paraId="52FD7A22" w14:textId="77777777" w:rsidR="00D94795" w:rsidRDefault="00965FF6" w:rsidP="00D94795">
      <w:pPr>
        <w:pStyle w:val="Question"/>
      </w:pPr>
      <w:r w:rsidRPr="003B1CC5">
        <w:rPr>
          <w:color w:val="0000FF"/>
        </w:rPr>
        <w:t>1a.4.4.</w:t>
      </w:r>
      <w:r w:rsidRPr="003B1CC5">
        <w:rPr>
          <w:color w:val="17365D" w:themeColor="text2" w:themeShade="BF"/>
        </w:rPr>
        <w:t xml:space="preserve"> </w:t>
      </w:r>
      <w:r w:rsidR="00C54E40" w:rsidRPr="003B1CC5">
        <w:t>Provide all other grades and associated definitions for recommendation</w:t>
      </w:r>
      <w:r w:rsidR="00205857" w:rsidRPr="003B1CC5">
        <w:t>s</w:t>
      </w:r>
      <w:r w:rsidR="00C54E40" w:rsidRPr="003B1CC5">
        <w:t xml:space="preserve"> in the grading system.</w:t>
      </w:r>
      <w:r w:rsidR="00FC32D3" w:rsidRPr="003B1CC5">
        <w:t xml:space="preserve"> </w:t>
      </w:r>
      <w:r w:rsidR="007573F0" w:rsidRPr="003B1CC5">
        <w:t xml:space="preserve"> </w:t>
      </w:r>
      <w:r w:rsidR="007573F0" w:rsidRPr="00164DC8">
        <w:rPr>
          <w:b w:val="0"/>
        </w:rPr>
        <w:t>(</w:t>
      </w:r>
      <w:r w:rsidR="008A45F3" w:rsidRPr="00164DC8">
        <w:rPr>
          <w:b w:val="0"/>
          <w:i/>
        </w:rPr>
        <w:t xml:space="preserve">Note: </w:t>
      </w:r>
      <w:r w:rsidR="00352B52" w:rsidRPr="00164DC8">
        <w:rPr>
          <w:b w:val="0"/>
          <w:i/>
        </w:rPr>
        <w:t xml:space="preserve">If separate </w:t>
      </w:r>
      <w:r w:rsidRPr="00164DC8">
        <w:rPr>
          <w:b w:val="0"/>
          <w:i/>
        </w:rPr>
        <w:t>g</w:t>
      </w:r>
      <w:r w:rsidR="00352B52" w:rsidRPr="00164DC8">
        <w:rPr>
          <w:b w:val="0"/>
          <w:i/>
        </w:rPr>
        <w:t xml:space="preserve">rades </w:t>
      </w:r>
      <w:r w:rsidR="00030F43" w:rsidRPr="00164DC8">
        <w:rPr>
          <w:b w:val="0"/>
          <w:i/>
        </w:rPr>
        <w:t xml:space="preserve">for the </w:t>
      </w:r>
      <w:r w:rsidR="00352B52" w:rsidRPr="00164DC8">
        <w:rPr>
          <w:b w:val="0"/>
          <w:i/>
        </w:rPr>
        <w:t xml:space="preserve">strength of the </w:t>
      </w:r>
      <w:r w:rsidR="00030F43" w:rsidRPr="00164DC8">
        <w:rPr>
          <w:b w:val="0"/>
          <w:i/>
        </w:rPr>
        <w:t>evidence</w:t>
      </w:r>
      <w:r w:rsidR="00352B52" w:rsidRPr="00164DC8">
        <w:rPr>
          <w:b w:val="0"/>
          <w:i/>
        </w:rPr>
        <w:t xml:space="preserve">, report </w:t>
      </w:r>
      <w:r w:rsidR="00205857" w:rsidRPr="00164DC8">
        <w:rPr>
          <w:b w:val="0"/>
          <w:i/>
        </w:rPr>
        <w:t xml:space="preserve">them </w:t>
      </w:r>
      <w:r w:rsidR="00030F43" w:rsidRPr="00164DC8">
        <w:rPr>
          <w:b w:val="0"/>
          <w:i/>
        </w:rPr>
        <w:t>in section 1a.7.</w:t>
      </w:r>
      <w:r w:rsidR="00030F43" w:rsidRPr="00164DC8">
        <w:rPr>
          <w:b w:val="0"/>
        </w:rPr>
        <w:t>)</w:t>
      </w:r>
    </w:p>
    <w:p w14:paraId="61435E30" w14:textId="65ABF7A8" w:rsidR="00015304" w:rsidRPr="00015304" w:rsidRDefault="000438AF" w:rsidP="00015304">
      <w:pPr>
        <w:pStyle w:val="Response"/>
      </w:pPr>
      <w:r>
        <w:t>Not applicable.</w:t>
      </w:r>
    </w:p>
    <w:p w14:paraId="70815098" w14:textId="77777777" w:rsidR="00A12762" w:rsidRPr="00164DC8" w:rsidRDefault="00776F6D" w:rsidP="00D94795">
      <w:pPr>
        <w:pStyle w:val="Question"/>
      </w:pPr>
      <w:r w:rsidRPr="003B1CC5">
        <w:rPr>
          <w:color w:val="0000FF"/>
        </w:rPr>
        <w:t>1a.4.5</w:t>
      </w:r>
      <w:r w:rsidR="00A12762" w:rsidRPr="003B1CC5">
        <w:rPr>
          <w:color w:val="0000FF"/>
        </w:rPr>
        <w:t>.</w:t>
      </w:r>
      <w:r w:rsidR="00A12762" w:rsidRPr="003B1CC5">
        <w:rPr>
          <w:color w:val="17365D" w:themeColor="text2" w:themeShade="BF"/>
        </w:rPr>
        <w:t xml:space="preserve"> </w:t>
      </w:r>
      <w:r w:rsidR="00030F43" w:rsidRPr="003B1CC5">
        <w:t xml:space="preserve">Citation and </w:t>
      </w:r>
      <w:r w:rsidR="00A12762" w:rsidRPr="003B1CC5">
        <w:t>URL for methodology for grading</w:t>
      </w:r>
      <w:r w:rsidR="00965FF6" w:rsidRPr="003B1CC5">
        <w:t xml:space="preserve"> recommendati</w:t>
      </w:r>
      <w:r w:rsidRPr="003B1CC5">
        <w:t>o</w:t>
      </w:r>
      <w:r w:rsidR="00965FF6" w:rsidRPr="003B1CC5">
        <w:t>ns</w:t>
      </w:r>
      <w:r w:rsidR="00A12762" w:rsidRPr="003B1CC5">
        <w:t xml:space="preserve"> </w:t>
      </w:r>
      <w:r w:rsidR="00A12762" w:rsidRPr="00164DC8">
        <w:rPr>
          <w:b w:val="0"/>
        </w:rPr>
        <w:t>(</w:t>
      </w:r>
      <w:r w:rsidR="00A12762" w:rsidRPr="00164DC8">
        <w:rPr>
          <w:b w:val="0"/>
          <w:i/>
        </w:rPr>
        <w:t xml:space="preserve">if </w:t>
      </w:r>
      <w:r w:rsidR="00AD79C8" w:rsidRPr="00164DC8">
        <w:rPr>
          <w:b w:val="0"/>
          <w:i/>
        </w:rPr>
        <w:t>different from 1a.4.</w:t>
      </w:r>
      <w:r w:rsidR="00030F43" w:rsidRPr="00164DC8">
        <w:rPr>
          <w:b w:val="0"/>
          <w:i/>
        </w:rPr>
        <w:t>1</w:t>
      </w:r>
      <w:r w:rsidR="00A12762" w:rsidRPr="00164DC8">
        <w:rPr>
          <w:b w:val="0"/>
        </w:rPr>
        <w:t>)</w:t>
      </w:r>
      <w:r w:rsidRPr="00164DC8">
        <w:rPr>
          <w:b w:val="0"/>
        </w:rPr>
        <w:t>:</w:t>
      </w:r>
    </w:p>
    <w:p w14:paraId="2BFDCC68" w14:textId="6887A57B" w:rsidR="00A409CA" w:rsidRDefault="00A409CA" w:rsidP="00A409CA">
      <w:pPr>
        <w:pStyle w:val="Response"/>
      </w:pPr>
      <w:r>
        <w:t>1.</w:t>
      </w:r>
      <w:r>
        <w:tab/>
      </w:r>
      <w:r w:rsidR="001B5B10" w:rsidRPr="001B5B10">
        <w:t xml:space="preserve">Ahmed, F., Temte, J. L., Campos-Outcalt, D., </w:t>
      </w:r>
      <w:r w:rsidR="00251A7D">
        <w:t>and</w:t>
      </w:r>
      <w:r w:rsidR="001B5B10" w:rsidRPr="001B5B10">
        <w:t xml:space="preserve"> Schünemann, H. J. (2011). Methods for developing evidence-based recommendations by the Advisory Committee on Immunization Practices (ACIP) of the U.S. Centers for Disease Control and Prevention (CDC). </w:t>
      </w:r>
      <w:r w:rsidR="001B5B10" w:rsidRPr="001B5B10">
        <w:rPr>
          <w:i/>
        </w:rPr>
        <w:t>Vaccine</w:t>
      </w:r>
      <w:r w:rsidR="001B5B10" w:rsidRPr="001B5B10">
        <w:t xml:space="preserve">, </w:t>
      </w:r>
      <w:r w:rsidR="001B5B10" w:rsidRPr="001B5B10">
        <w:rPr>
          <w:i/>
        </w:rPr>
        <w:t>29</w:t>
      </w:r>
      <w:r w:rsidR="001B5B10" w:rsidRPr="001B5B10">
        <w:t>(49), 9171–9176. doi:10.1016/j.vaccine.2011.08.005</w:t>
      </w:r>
    </w:p>
    <w:p w14:paraId="42978EEB" w14:textId="36E4474F" w:rsidR="00A409CA" w:rsidRDefault="00A409CA" w:rsidP="00A409CA">
      <w:pPr>
        <w:pStyle w:val="Response"/>
      </w:pPr>
      <w:r>
        <w:t>2.</w:t>
      </w:r>
      <w:r>
        <w:tab/>
        <w:t>Schünemann</w:t>
      </w:r>
      <w:r w:rsidR="001B5B10">
        <w:t>,</w:t>
      </w:r>
      <w:r>
        <w:t xml:space="preserve"> H</w:t>
      </w:r>
      <w:r w:rsidR="001B5B10">
        <w:t>.</w:t>
      </w:r>
      <w:r>
        <w:t>, Brozek</w:t>
      </w:r>
      <w:r w:rsidR="001B5B10">
        <w:t>,</w:t>
      </w:r>
      <w:r>
        <w:t xml:space="preserve"> J</w:t>
      </w:r>
      <w:r w:rsidR="001B5B10">
        <w:t>.</w:t>
      </w:r>
      <w:r>
        <w:t xml:space="preserve">, </w:t>
      </w:r>
      <w:r w:rsidR="00251A7D">
        <w:t>and</w:t>
      </w:r>
      <w:r w:rsidR="001B5B10">
        <w:t xml:space="preserve"> </w:t>
      </w:r>
      <w:r>
        <w:t>Oxman</w:t>
      </w:r>
      <w:r w:rsidR="001B5B10">
        <w:t>,</w:t>
      </w:r>
      <w:r>
        <w:t xml:space="preserve"> A</w:t>
      </w:r>
      <w:r w:rsidR="001B5B10">
        <w:t>.</w:t>
      </w:r>
      <w:r>
        <w:t xml:space="preserve"> </w:t>
      </w:r>
      <w:r w:rsidR="001B5B10">
        <w:t>(E</w:t>
      </w:r>
      <w:r>
        <w:t>ds.</w:t>
      </w:r>
      <w:r w:rsidR="001B5B10">
        <w:t xml:space="preserve">). (2009). </w:t>
      </w:r>
      <w:r>
        <w:t xml:space="preserve">GRADE handbook for grading quality of evidence and strength of recommendation. Version 3.2 [updated March 2009]. The GRADE Working Group. </w:t>
      </w:r>
      <w:r w:rsidR="001B5B10">
        <w:t xml:space="preserve">Retrieved from </w:t>
      </w:r>
      <w:r>
        <w:t>http://ims.cochrane.org/gradepro.</w:t>
      </w:r>
    </w:p>
    <w:p w14:paraId="4B529EBE" w14:textId="6E90838E" w:rsidR="00A409CA" w:rsidRDefault="00A409CA" w:rsidP="00A409CA">
      <w:pPr>
        <w:pStyle w:val="Response"/>
      </w:pPr>
      <w:r>
        <w:t>3.</w:t>
      </w:r>
      <w:r>
        <w:tab/>
      </w:r>
      <w:r w:rsidR="001B5B10" w:rsidRPr="001B5B10">
        <w:t xml:space="preserve">Guyatt, G. H., Oxman, A. D., Schünemann, H. J., Tugwell, P., </w:t>
      </w:r>
      <w:r w:rsidR="00251A7D">
        <w:t>and</w:t>
      </w:r>
      <w:r w:rsidR="001B5B10" w:rsidRPr="001B5B10">
        <w:t xml:space="preserve"> Knottnerus, A. (2011). GRADE guidelines: A new series of articles in the Journal of Clinical Epidemiology. </w:t>
      </w:r>
      <w:r w:rsidR="001B5B10" w:rsidRPr="001B5B10">
        <w:rPr>
          <w:i/>
        </w:rPr>
        <w:t>Journal of Clinical Epidemiology</w:t>
      </w:r>
      <w:r w:rsidR="001B5B10" w:rsidRPr="001B5B10">
        <w:t xml:space="preserve">, </w:t>
      </w:r>
      <w:r w:rsidR="001B5B10" w:rsidRPr="001B5B10">
        <w:rPr>
          <w:i/>
        </w:rPr>
        <w:t>64</w:t>
      </w:r>
      <w:r w:rsidR="001B5B10" w:rsidRPr="001B5B10">
        <w:t>(4), 380–382. doi:10.1016/j.jclinepi.2010.09.011</w:t>
      </w:r>
    </w:p>
    <w:p w14:paraId="7694E66B" w14:textId="1BADF2F5" w:rsidR="001B5B10" w:rsidRDefault="00A409CA" w:rsidP="00A409CA">
      <w:pPr>
        <w:pStyle w:val="Response"/>
      </w:pPr>
      <w:r>
        <w:t>4.</w:t>
      </w:r>
      <w:r>
        <w:tab/>
      </w:r>
      <w:r w:rsidR="001B5B10" w:rsidRPr="001B5B10">
        <w:t>Guyatt, G., Oxman, A. D., Akl, E. A., Kunz, R., Vist, G., Brozek, J.,</w:t>
      </w:r>
      <w:r>
        <w:t xml:space="preserve"> </w:t>
      </w:r>
      <w:r w:rsidR="00251A7D">
        <w:t xml:space="preserve"> and</w:t>
      </w:r>
      <w:r w:rsidR="001B5B10">
        <w:t xml:space="preserve"> </w:t>
      </w:r>
      <w:r>
        <w:t>Schünemann</w:t>
      </w:r>
      <w:r w:rsidR="001B5B10">
        <w:t>,</w:t>
      </w:r>
      <w:r>
        <w:t xml:space="preserve"> H</w:t>
      </w:r>
      <w:r w:rsidR="001B5B10">
        <w:t>. </w:t>
      </w:r>
      <w:r>
        <w:t xml:space="preserve">J. </w:t>
      </w:r>
      <w:r w:rsidR="006402D8">
        <w:t xml:space="preserve">(2011). </w:t>
      </w:r>
      <w:r>
        <w:t xml:space="preserve">GRADE guidelines: 1. Introduction-GRADE evidence profiles and summary of findings tables. </w:t>
      </w:r>
      <w:r w:rsidR="001B5B10" w:rsidRPr="006402D8">
        <w:rPr>
          <w:i/>
        </w:rPr>
        <w:t>Journal of Clinical Epidemiology</w:t>
      </w:r>
      <w:r w:rsidR="001B5B10" w:rsidRPr="001B5B10">
        <w:t xml:space="preserve">, </w:t>
      </w:r>
      <w:r w:rsidR="001B5B10" w:rsidRPr="006402D8">
        <w:rPr>
          <w:i/>
        </w:rPr>
        <w:t>64</w:t>
      </w:r>
      <w:r w:rsidR="001B5B10" w:rsidRPr="001B5B10">
        <w:t>(4), 383–394. doi:10.1016/j.jclinepi.2010.04.026</w:t>
      </w:r>
    </w:p>
    <w:p w14:paraId="38EA4CDE" w14:textId="55ED0DE4" w:rsidR="001B5B10" w:rsidRDefault="00A409CA" w:rsidP="00A409CA">
      <w:pPr>
        <w:pStyle w:val="Response"/>
      </w:pPr>
      <w:r>
        <w:t>5.</w:t>
      </w:r>
      <w:r>
        <w:tab/>
      </w:r>
      <w:r w:rsidR="006402D8" w:rsidRPr="001B5B10">
        <w:t>Guyatt, G. H., Oxman, A. D., Kunz, R., Atkins, D., Brozek, J., Vist, G.,</w:t>
      </w:r>
      <w:r>
        <w:t xml:space="preserve"> </w:t>
      </w:r>
      <w:r w:rsidR="00251A7D">
        <w:t>and</w:t>
      </w:r>
      <w:r w:rsidR="006402D8">
        <w:t xml:space="preserve"> </w:t>
      </w:r>
      <w:r>
        <w:t>Schunemann</w:t>
      </w:r>
      <w:r w:rsidR="006402D8">
        <w:t>,</w:t>
      </w:r>
      <w:r>
        <w:t xml:space="preserve"> H</w:t>
      </w:r>
      <w:r w:rsidR="006402D8">
        <w:t>. </w:t>
      </w:r>
      <w:r>
        <w:t xml:space="preserve">J. </w:t>
      </w:r>
      <w:r w:rsidR="006402D8">
        <w:t xml:space="preserve">(2011). </w:t>
      </w:r>
      <w:r>
        <w:t xml:space="preserve">GRADE guidelines: 2. Framing the question and deciding on important outcomes. </w:t>
      </w:r>
      <w:r w:rsidR="001B5B10" w:rsidRPr="006402D8">
        <w:rPr>
          <w:i/>
        </w:rPr>
        <w:t>Journal of Clinical Epidemiology</w:t>
      </w:r>
      <w:r w:rsidR="001B5B10" w:rsidRPr="001B5B10">
        <w:t xml:space="preserve">, </w:t>
      </w:r>
      <w:r w:rsidR="001B5B10" w:rsidRPr="006402D8">
        <w:rPr>
          <w:i/>
        </w:rPr>
        <w:t>64</w:t>
      </w:r>
      <w:r w:rsidR="001B5B10" w:rsidRPr="001B5B10">
        <w:t>(4), 395–400. doi:10.1016/j.jclinepi.2010.09.012</w:t>
      </w:r>
    </w:p>
    <w:p w14:paraId="68983D30" w14:textId="013A516C" w:rsidR="006402D8" w:rsidRPr="00015304" w:rsidRDefault="00A409CA" w:rsidP="00A409CA">
      <w:pPr>
        <w:pStyle w:val="Response"/>
      </w:pPr>
      <w:r>
        <w:t>6.</w:t>
      </w:r>
      <w:r>
        <w:tab/>
      </w:r>
      <w:r w:rsidR="006402D8" w:rsidRPr="006402D8">
        <w:t>Balshem, H., Helfand, M., Schünemann, H. J., Oxman, A. D., Kunz, R., Brozek, J.,</w:t>
      </w:r>
      <w:r>
        <w:t xml:space="preserve"> </w:t>
      </w:r>
      <w:r w:rsidR="00251A7D">
        <w:t>and</w:t>
      </w:r>
      <w:r w:rsidR="006402D8">
        <w:t xml:space="preserve"> </w:t>
      </w:r>
      <w:r>
        <w:t>Guyatt</w:t>
      </w:r>
      <w:r w:rsidR="006402D8">
        <w:t>,</w:t>
      </w:r>
      <w:r>
        <w:t xml:space="preserve"> G</w:t>
      </w:r>
      <w:r w:rsidR="006402D8">
        <w:t xml:space="preserve">. </w:t>
      </w:r>
      <w:r>
        <w:t xml:space="preserve">H. </w:t>
      </w:r>
      <w:r w:rsidR="006402D8">
        <w:t xml:space="preserve">(2011). </w:t>
      </w:r>
      <w:r>
        <w:t xml:space="preserve">GRADE guidelines: 3. Rating the quality of evidence. </w:t>
      </w:r>
      <w:r w:rsidR="006402D8" w:rsidRPr="006402D8">
        <w:rPr>
          <w:i/>
        </w:rPr>
        <w:t>Journal of Clinical Epidemiology</w:t>
      </w:r>
      <w:r w:rsidR="006402D8" w:rsidRPr="006402D8">
        <w:t xml:space="preserve">, </w:t>
      </w:r>
      <w:r w:rsidR="006402D8" w:rsidRPr="006402D8">
        <w:rPr>
          <w:i/>
        </w:rPr>
        <w:t>64</w:t>
      </w:r>
      <w:r w:rsidR="006402D8" w:rsidRPr="006402D8">
        <w:t>(4), 401–406. doi:10.1016/j.jclinepi.2010.07.015</w:t>
      </w:r>
    </w:p>
    <w:p w14:paraId="04D67B17" w14:textId="77777777" w:rsidR="00736AEC" w:rsidRPr="003B1CC5" w:rsidRDefault="00736AEC" w:rsidP="00D94795">
      <w:pPr>
        <w:pStyle w:val="Question"/>
      </w:pPr>
      <w:r w:rsidRPr="003B1CC5">
        <w:rPr>
          <w:color w:val="0000FF"/>
        </w:rPr>
        <w:t>1</w:t>
      </w:r>
      <w:r w:rsidR="00773485" w:rsidRPr="003B1CC5">
        <w:rPr>
          <w:color w:val="0000FF"/>
        </w:rPr>
        <w:t>a</w:t>
      </w:r>
      <w:r w:rsidRPr="003B1CC5">
        <w:rPr>
          <w:color w:val="0000FF"/>
        </w:rPr>
        <w:t>.4.</w:t>
      </w:r>
      <w:r w:rsidR="00776F6D" w:rsidRPr="003B1CC5">
        <w:rPr>
          <w:color w:val="0000FF"/>
        </w:rPr>
        <w:t>6</w:t>
      </w:r>
      <w:r w:rsidR="00CB06C9" w:rsidRPr="003B1CC5">
        <w:t>.</w:t>
      </w:r>
      <w:r w:rsidRPr="003B1CC5">
        <w:t xml:space="preserve"> </w:t>
      </w:r>
      <w:r w:rsidR="00162036" w:rsidRPr="003B1CC5">
        <w:t>If guideline is evidence-based (rather than expert opinion), a</w:t>
      </w:r>
      <w:r w:rsidRPr="003B1CC5">
        <w:t xml:space="preserve">re the details of </w:t>
      </w:r>
      <w:r w:rsidR="00162036" w:rsidRPr="003B1CC5">
        <w:t xml:space="preserve">the </w:t>
      </w:r>
      <w:r w:rsidRPr="003B1CC5">
        <w:t>quantity, quality, and consistency of the body of evidence available</w:t>
      </w:r>
      <w:r w:rsidR="00162036" w:rsidRPr="003B1CC5">
        <w:t xml:space="preserve"> (e.g., evidence tables)</w:t>
      </w:r>
      <w:r w:rsidRPr="003B1CC5">
        <w:t>?</w:t>
      </w:r>
    </w:p>
    <w:p w14:paraId="333CE192" w14:textId="77777777" w:rsidR="00FC32D3" w:rsidRPr="001E34D4" w:rsidRDefault="00DE7CFC" w:rsidP="003A202B">
      <w:pPr>
        <w:ind w:left="450" w:hanging="432"/>
        <w:rPr>
          <w:b/>
        </w:rPr>
      </w:pPr>
      <w:sdt>
        <w:sdtPr>
          <w:rPr>
            <w:bCs/>
            <w:color w:val="0000FF"/>
          </w:rPr>
          <w:id w:val="-1346319738"/>
          <w14:checkbox>
            <w14:checked w14:val="1"/>
            <w14:checkedState w14:val="2612" w14:font="MS Gothic"/>
            <w14:uncheckedState w14:val="2610" w14:font="MS Gothic"/>
          </w14:checkbox>
        </w:sdtPr>
        <w:sdtEndPr/>
        <w:sdtContent>
          <w:r w:rsidR="001E34D4" w:rsidRPr="001E34D4">
            <w:rPr>
              <w:rFonts w:ascii="MS Gothic" w:eastAsia="MS Gothic" w:hAnsi="MS Gothic" w:hint="eastAsia"/>
              <w:bCs/>
              <w:color w:val="0000FF"/>
            </w:rPr>
            <w:t>☒</w:t>
          </w:r>
        </w:sdtContent>
      </w:sdt>
      <w:r w:rsidR="00FC32D3" w:rsidRPr="001E34D4">
        <w:rPr>
          <w:b/>
        </w:rPr>
        <w:t xml:space="preserve"> </w:t>
      </w:r>
      <w:r w:rsidR="00FC32D3" w:rsidRPr="001E34D4">
        <w:t>Yes</w:t>
      </w:r>
      <w:r w:rsidR="00FC32D3" w:rsidRPr="001E34D4">
        <w:rPr>
          <w:b/>
        </w:rPr>
        <w:t xml:space="preserve"> </w:t>
      </w:r>
      <w:r w:rsidR="00FC32D3" w:rsidRPr="001E34D4">
        <w:rPr>
          <w:rFonts w:cstheme="minorHAnsi"/>
          <w:b/>
        </w:rPr>
        <w:t>→</w:t>
      </w:r>
      <w:r w:rsidR="00FC32D3" w:rsidRPr="001E34D4">
        <w:rPr>
          <w:b/>
        </w:rPr>
        <w:t xml:space="preserve"> </w:t>
      </w:r>
      <w:r w:rsidR="00FC32D3" w:rsidRPr="001E34D4">
        <w:rPr>
          <w:b/>
          <w:i/>
        </w:rPr>
        <w:t xml:space="preserve">complete section </w:t>
      </w:r>
      <w:hyperlink w:anchor="Section1a7" w:history="1">
        <w:r w:rsidR="00FC32D3" w:rsidRPr="001E34D4">
          <w:rPr>
            <w:rStyle w:val="Hyperlink"/>
            <w:b/>
            <w:i/>
          </w:rPr>
          <w:t>1a.7</w:t>
        </w:r>
      </w:hyperlink>
    </w:p>
    <w:p w14:paraId="41A66B11" w14:textId="77777777" w:rsidR="00736AEC" w:rsidRPr="003B1CC5" w:rsidRDefault="00DE7CFC" w:rsidP="003A202B">
      <w:pPr>
        <w:ind w:left="720" w:hanging="720"/>
      </w:pPr>
      <w:sdt>
        <w:sdtPr>
          <w:rPr>
            <w:bCs/>
            <w:color w:val="0000FF"/>
          </w:rPr>
          <w:id w:val="777454248"/>
          <w14:checkbox>
            <w14:checked w14:val="0"/>
            <w14:checkedState w14:val="2612" w14:font="MS Gothic"/>
            <w14:uncheckedState w14:val="2610" w14:font="MS Gothic"/>
          </w14:checkbox>
        </w:sdtPr>
        <w:sdtEndPr/>
        <w:sdtContent>
          <w:r w:rsidR="00FC32D3" w:rsidRPr="001E34D4">
            <w:rPr>
              <w:rFonts w:ascii="MS Gothic" w:eastAsia="MS Gothic" w:hAnsi="MS Gothic" w:cs="MS Gothic" w:hint="eastAsia"/>
              <w:bCs/>
              <w:color w:val="0000FF"/>
            </w:rPr>
            <w:t>☐</w:t>
          </w:r>
        </w:sdtContent>
      </w:sdt>
      <w:r w:rsidR="00736AEC" w:rsidRPr="001E34D4">
        <w:rPr>
          <w:b/>
        </w:rPr>
        <w:t xml:space="preserve"> </w:t>
      </w:r>
      <w:r w:rsidR="00736AEC" w:rsidRPr="001E34D4">
        <w:t>No</w:t>
      </w:r>
      <w:r w:rsidR="00307FA5" w:rsidRPr="001E34D4">
        <w:t xml:space="preserve">  </w:t>
      </w:r>
      <w:r w:rsidR="007C1887" w:rsidRPr="001E34D4">
        <w:rPr>
          <w:rFonts w:cstheme="minorHAnsi"/>
          <w:b/>
        </w:rPr>
        <w:t>→</w:t>
      </w:r>
      <w:r w:rsidR="0087564A" w:rsidRPr="001E34D4">
        <w:rPr>
          <w:rFonts w:cstheme="minorHAnsi"/>
          <w:b/>
        </w:rPr>
        <w:t xml:space="preserve"> </w:t>
      </w:r>
      <w:r w:rsidR="0087564A" w:rsidRPr="001E34D4">
        <w:rPr>
          <w:rStyle w:val="Hyperlink"/>
          <w:b/>
          <w:i/>
          <w:color w:val="auto"/>
          <w:u w:val="none"/>
        </w:rPr>
        <w:t>report on another systematic review</w:t>
      </w:r>
      <w:r w:rsidR="00701CC3" w:rsidRPr="001E34D4">
        <w:rPr>
          <w:rStyle w:val="Hyperlink"/>
          <w:b/>
          <w:i/>
          <w:color w:val="auto"/>
          <w:u w:val="none"/>
        </w:rPr>
        <w:t xml:space="preserve"> of the evidence</w:t>
      </w:r>
      <w:r w:rsidR="0087564A" w:rsidRPr="001E34D4">
        <w:rPr>
          <w:rStyle w:val="Hyperlink"/>
          <w:b/>
          <w:i/>
          <w:color w:val="auto"/>
          <w:u w:val="none"/>
        </w:rPr>
        <w:t xml:space="preserve"> in</w:t>
      </w:r>
      <w:r w:rsidR="0098657F" w:rsidRPr="001E34D4">
        <w:rPr>
          <w:rStyle w:val="Hyperlink"/>
          <w:b/>
          <w:i/>
          <w:color w:val="auto"/>
          <w:u w:val="none"/>
        </w:rPr>
        <w:t xml:space="preserve"> sections</w:t>
      </w:r>
      <w:r w:rsidR="0087564A" w:rsidRPr="001E34D4">
        <w:rPr>
          <w:rStyle w:val="Hyperlink"/>
          <w:b/>
          <w:i/>
          <w:color w:val="auto"/>
          <w:u w:val="none"/>
        </w:rPr>
        <w:t xml:space="preserve"> </w:t>
      </w:r>
      <w:hyperlink w:anchor="Section1a6" w:history="1">
        <w:r w:rsidR="0087564A" w:rsidRPr="001E34D4">
          <w:rPr>
            <w:rStyle w:val="Hyperlink"/>
            <w:b/>
            <w:i/>
          </w:rPr>
          <w:t>1a.6</w:t>
        </w:r>
      </w:hyperlink>
      <w:r w:rsidR="0087564A" w:rsidRPr="001E34D4">
        <w:rPr>
          <w:rStyle w:val="Hyperlink"/>
          <w:b/>
          <w:i/>
          <w:color w:val="auto"/>
          <w:u w:val="none"/>
        </w:rPr>
        <w:t xml:space="preserve"> and </w:t>
      </w:r>
      <w:hyperlink w:anchor="Section1a7" w:history="1">
        <w:r w:rsidR="0087564A" w:rsidRPr="001E34D4">
          <w:rPr>
            <w:rStyle w:val="Hyperlink"/>
            <w:b/>
            <w:i/>
          </w:rPr>
          <w:t>1a.7</w:t>
        </w:r>
      </w:hyperlink>
      <w:r w:rsidR="00701CC3" w:rsidRPr="001E34D4">
        <w:rPr>
          <w:rStyle w:val="Hyperlink"/>
          <w:b/>
          <w:i/>
          <w:color w:val="auto"/>
          <w:u w:val="none"/>
        </w:rPr>
        <w:t>;</w:t>
      </w:r>
      <w:r w:rsidR="0087564A" w:rsidRPr="001E34D4">
        <w:rPr>
          <w:rStyle w:val="Hyperlink"/>
          <w:b/>
          <w:i/>
          <w:color w:val="auto"/>
          <w:u w:val="none"/>
        </w:rPr>
        <w:t xml:space="preserve"> </w:t>
      </w:r>
      <w:r w:rsidR="00B74629" w:rsidRPr="001E34D4">
        <w:rPr>
          <w:rStyle w:val="Hyperlink"/>
          <w:b/>
          <w:i/>
          <w:color w:val="auto"/>
          <w:u w:val="none"/>
        </w:rPr>
        <w:t xml:space="preserve">if </w:t>
      </w:r>
      <w:r w:rsidR="00063601" w:rsidRPr="001E34D4">
        <w:rPr>
          <w:rStyle w:val="Hyperlink"/>
          <w:b/>
          <w:i/>
          <w:color w:val="auto"/>
          <w:u w:val="none"/>
        </w:rPr>
        <w:t xml:space="preserve">another review </w:t>
      </w:r>
      <w:r w:rsidR="00B74629" w:rsidRPr="001E34D4">
        <w:rPr>
          <w:rStyle w:val="Hyperlink"/>
          <w:b/>
          <w:i/>
          <w:color w:val="auto"/>
          <w:u w:val="none"/>
        </w:rPr>
        <w:t xml:space="preserve">does not exist, </w:t>
      </w:r>
      <w:r w:rsidR="00923295" w:rsidRPr="001E34D4">
        <w:rPr>
          <w:rFonts w:cstheme="minorHAnsi"/>
          <w:b/>
          <w:i/>
        </w:rPr>
        <w:t xml:space="preserve">provide what is known </w:t>
      </w:r>
      <w:r w:rsidR="00701CC3" w:rsidRPr="001E34D4">
        <w:rPr>
          <w:rFonts w:cstheme="minorHAnsi"/>
          <w:b/>
          <w:i/>
        </w:rPr>
        <w:t xml:space="preserve">from the guideline review of evidence </w:t>
      </w:r>
      <w:r w:rsidR="00923295" w:rsidRPr="001E34D4">
        <w:rPr>
          <w:rFonts w:cstheme="minorHAnsi"/>
          <w:b/>
          <w:i/>
        </w:rPr>
        <w:t xml:space="preserve">in </w:t>
      </w:r>
      <w:hyperlink w:anchor="Section1a7" w:history="1">
        <w:r w:rsidR="009477D6" w:rsidRPr="001E34D4">
          <w:rPr>
            <w:rStyle w:val="Hyperlink"/>
            <w:b/>
            <w:i/>
          </w:rPr>
          <w:t>1a.7</w:t>
        </w:r>
      </w:hyperlink>
    </w:p>
    <w:p w14:paraId="28663A87" w14:textId="77777777" w:rsidR="00EE5AF6" w:rsidRPr="00D94795" w:rsidRDefault="00925F11" w:rsidP="00D94795">
      <w:pPr>
        <w:pStyle w:val="LineDivider"/>
      </w:pPr>
      <w:r w:rsidRPr="00D94795">
        <w:t>_________________________</w:t>
      </w:r>
    </w:p>
    <w:p w14:paraId="74E00E3A" w14:textId="77777777" w:rsidR="00EE5AF6" w:rsidRPr="003B1CC5" w:rsidRDefault="00EE5AF6" w:rsidP="00D94795">
      <w:pPr>
        <w:pStyle w:val="Heading2"/>
        <w:rPr>
          <w:color w:val="0000FF"/>
        </w:rPr>
      </w:pPr>
      <w:bookmarkStart w:id="7" w:name="Section1a5"/>
      <w:bookmarkEnd w:id="7"/>
      <w:r w:rsidRPr="003B1CC5">
        <w:rPr>
          <w:color w:val="0000FF"/>
        </w:rPr>
        <w:t>1</w:t>
      </w:r>
      <w:r w:rsidR="00773485" w:rsidRPr="003B1CC5">
        <w:rPr>
          <w:color w:val="0000FF"/>
        </w:rPr>
        <w:t>a</w:t>
      </w:r>
      <w:r w:rsidRPr="003B1CC5">
        <w:rPr>
          <w:color w:val="0000FF"/>
        </w:rPr>
        <w:t>.5</w:t>
      </w:r>
      <w:r w:rsidR="00201FF9" w:rsidRPr="003B1CC5">
        <w:rPr>
          <w:color w:val="0000FF"/>
        </w:rPr>
        <w:t>.</w:t>
      </w:r>
      <w:r w:rsidRPr="003B1CC5">
        <w:rPr>
          <w:color w:val="0000FF"/>
        </w:rPr>
        <w:t xml:space="preserve"> </w:t>
      </w:r>
      <w:r w:rsidRPr="003B1CC5">
        <w:t>U</w:t>
      </w:r>
      <w:r w:rsidR="0094689F" w:rsidRPr="003B1CC5">
        <w:t>NITED STATES</w:t>
      </w:r>
      <w:r w:rsidRPr="003B1CC5">
        <w:t xml:space="preserve"> PREVENTIVE SERVICES TASK FORCE RECOMMENDATION</w:t>
      </w:r>
    </w:p>
    <w:p w14:paraId="528EC852" w14:textId="77777777" w:rsidR="00D94795" w:rsidRDefault="00307FA5" w:rsidP="00D94795">
      <w:pPr>
        <w:pStyle w:val="Question"/>
      </w:pPr>
      <w:r w:rsidRPr="003B1CC5">
        <w:rPr>
          <w:color w:val="0000FF"/>
        </w:rPr>
        <w:t>1</w:t>
      </w:r>
      <w:r w:rsidR="009E37BD" w:rsidRPr="003B1CC5">
        <w:rPr>
          <w:color w:val="0000FF"/>
        </w:rPr>
        <w:t>a</w:t>
      </w:r>
      <w:r w:rsidRPr="003B1CC5">
        <w:rPr>
          <w:color w:val="0000FF"/>
        </w:rPr>
        <w:t>.5.1.</w:t>
      </w:r>
      <w:r w:rsidRPr="003B1CC5">
        <w:t xml:space="preserve"> </w:t>
      </w:r>
      <w:r w:rsidR="00E746A2" w:rsidRPr="003B1CC5">
        <w:t>Recommendation</w:t>
      </w:r>
      <w:r w:rsidRPr="003B1CC5">
        <w:t xml:space="preserve"> citation </w:t>
      </w:r>
      <w:r w:rsidRPr="00164DC8">
        <w:rPr>
          <w:b w:val="0"/>
        </w:rPr>
        <w:t>(</w:t>
      </w:r>
      <w:r w:rsidRPr="00164DC8">
        <w:rPr>
          <w:b w:val="0"/>
          <w:i/>
        </w:rPr>
        <w:t>including date</w:t>
      </w:r>
      <w:r w:rsidRPr="00164DC8">
        <w:rPr>
          <w:b w:val="0"/>
        </w:rPr>
        <w:t>)</w:t>
      </w:r>
      <w:r w:rsidR="00EA79C9" w:rsidRPr="00164DC8">
        <w:rPr>
          <w:b w:val="0"/>
        </w:rPr>
        <w:t xml:space="preserve"> and</w:t>
      </w:r>
      <w:r w:rsidR="00EA79C9" w:rsidRPr="003B1CC5">
        <w:t xml:space="preserve"> URL for recommendation </w:t>
      </w:r>
      <w:r w:rsidR="00EA79C9" w:rsidRPr="00164DC8">
        <w:rPr>
          <w:b w:val="0"/>
        </w:rPr>
        <w:t>(</w:t>
      </w:r>
      <w:r w:rsidR="00EA79C9" w:rsidRPr="00164DC8">
        <w:rPr>
          <w:b w:val="0"/>
          <w:i/>
        </w:rPr>
        <w:t>if available online</w:t>
      </w:r>
      <w:r w:rsidR="00EA79C9" w:rsidRPr="00164DC8">
        <w:rPr>
          <w:b w:val="0"/>
        </w:rPr>
        <w:t>):</w:t>
      </w:r>
    </w:p>
    <w:p w14:paraId="3BA0E788" w14:textId="77777777" w:rsidR="00632616" w:rsidRDefault="00632616" w:rsidP="00632616">
      <w:pPr>
        <w:pStyle w:val="Response"/>
        <w:ind w:left="0" w:firstLine="0"/>
      </w:pPr>
      <w:r>
        <w:t xml:space="preserve">The USPSTF recognizes the importance of immunizations in primary disease prevention, and wishes to avoid duplication of the significant investment of resources made by others to review new evidence on immunizations in a timely fashion and make recommendations. Thus, the USPSTF refers health care professionals to the CDC ACIP recommendations, but notes that methods used by the ACIP to review evidence on immunizations may differ from methods used by the USPSTF. </w:t>
      </w:r>
    </w:p>
    <w:p w14:paraId="4AA7D85E" w14:textId="26DF24C0" w:rsidR="00015304" w:rsidRPr="00015304" w:rsidRDefault="000438AF" w:rsidP="00632616">
      <w:pPr>
        <w:pStyle w:val="Response"/>
        <w:ind w:left="0" w:firstLine="0"/>
      </w:pPr>
      <w:r>
        <w:t>Not applicable.</w:t>
      </w:r>
    </w:p>
    <w:p w14:paraId="24245B2D" w14:textId="77777777" w:rsidR="00307FA5" w:rsidRPr="003B1CC5" w:rsidRDefault="00307FA5" w:rsidP="00D94795">
      <w:pPr>
        <w:pStyle w:val="Question"/>
      </w:pPr>
      <w:r w:rsidRPr="003B1CC5">
        <w:rPr>
          <w:color w:val="0000FF"/>
        </w:rPr>
        <w:t>1</w:t>
      </w:r>
      <w:r w:rsidR="009E37BD" w:rsidRPr="003B1CC5">
        <w:rPr>
          <w:color w:val="0000FF"/>
        </w:rPr>
        <w:t>a</w:t>
      </w:r>
      <w:r w:rsidR="00EA79C9" w:rsidRPr="003B1CC5">
        <w:rPr>
          <w:color w:val="0000FF"/>
        </w:rPr>
        <w:t>.5.2</w:t>
      </w:r>
      <w:r w:rsidRPr="003B1CC5">
        <w:rPr>
          <w:color w:val="0000FF"/>
        </w:rPr>
        <w:t>.</w:t>
      </w:r>
      <w:r w:rsidRPr="003B1CC5">
        <w:t xml:space="preserve"> Identify </w:t>
      </w:r>
      <w:r w:rsidR="00EE5AF6" w:rsidRPr="003B1CC5">
        <w:t>recommendation</w:t>
      </w:r>
      <w:r w:rsidRPr="003B1CC5">
        <w:t xml:space="preserve"> number and/or page number </w:t>
      </w:r>
      <w:r w:rsidR="00EA79C9" w:rsidRPr="00164DC8">
        <w:rPr>
          <w:b w:val="0"/>
        </w:rPr>
        <w:t>and</w:t>
      </w:r>
      <w:r w:rsidR="00EA79C9" w:rsidRPr="003B1CC5">
        <w:t xml:space="preserve"> </w:t>
      </w:r>
      <w:r w:rsidR="00C54E40" w:rsidRPr="003B1CC5">
        <w:t>q</w:t>
      </w:r>
      <w:r w:rsidR="00EA79C9" w:rsidRPr="003B1CC5">
        <w:t>uote verbatim, the specific recommendation</w:t>
      </w:r>
      <w:r w:rsidR="00C54E40" w:rsidRPr="003B1CC5">
        <w:t>.</w:t>
      </w:r>
    </w:p>
    <w:p w14:paraId="21CA9CB3" w14:textId="51CA0771" w:rsidR="00015304" w:rsidRPr="00015304" w:rsidRDefault="000438AF" w:rsidP="00015304">
      <w:pPr>
        <w:pStyle w:val="Response"/>
      </w:pPr>
      <w:r>
        <w:t>Not applicable.</w:t>
      </w:r>
    </w:p>
    <w:p w14:paraId="74EA4036" w14:textId="77777777" w:rsidR="008A45F3" w:rsidRPr="003B1CC5" w:rsidRDefault="00307FA5" w:rsidP="00D94795">
      <w:pPr>
        <w:pStyle w:val="Question"/>
      </w:pPr>
      <w:r w:rsidRPr="003B1CC5">
        <w:rPr>
          <w:color w:val="0000FF"/>
        </w:rPr>
        <w:t>1</w:t>
      </w:r>
      <w:r w:rsidR="009E37BD" w:rsidRPr="003B1CC5">
        <w:rPr>
          <w:color w:val="0000FF"/>
        </w:rPr>
        <w:t>a</w:t>
      </w:r>
      <w:r w:rsidR="00EA79C9" w:rsidRPr="003B1CC5">
        <w:rPr>
          <w:color w:val="0000FF"/>
        </w:rPr>
        <w:t>.5.3</w:t>
      </w:r>
      <w:r w:rsidRPr="003B1CC5">
        <w:rPr>
          <w:color w:val="0000FF"/>
        </w:rPr>
        <w:t>.</w:t>
      </w:r>
      <w:r w:rsidRPr="003B1CC5">
        <w:rPr>
          <w:bCs/>
        </w:rPr>
        <w:t xml:space="preserve"> </w:t>
      </w:r>
      <w:r w:rsidRPr="003B1CC5">
        <w:t xml:space="preserve">Grade assigned to the quoted recommendation </w:t>
      </w:r>
      <w:r w:rsidRPr="003B1CC5">
        <w:rPr>
          <w:u w:val="single"/>
        </w:rPr>
        <w:t>with definition</w:t>
      </w:r>
      <w:r w:rsidRPr="003B1CC5">
        <w:t xml:space="preserve"> of the grade</w:t>
      </w:r>
      <w:r w:rsidR="00776F6D" w:rsidRPr="003B1CC5">
        <w:t>:</w:t>
      </w:r>
    </w:p>
    <w:p w14:paraId="59AE58DE" w14:textId="4E8C6D37" w:rsidR="003A202B" w:rsidRPr="00015304" w:rsidRDefault="000438AF" w:rsidP="003A202B">
      <w:pPr>
        <w:pStyle w:val="Response"/>
      </w:pPr>
      <w:r>
        <w:t>Not applicable.</w:t>
      </w:r>
    </w:p>
    <w:p w14:paraId="1094233A" w14:textId="77777777" w:rsidR="00307FA5" w:rsidRPr="003B1CC5" w:rsidRDefault="008A45F3" w:rsidP="00D94795">
      <w:pPr>
        <w:pStyle w:val="Question"/>
      </w:pPr>
      <w:r w:rsidRPr="003B1CC5">
        <w:rPr>
          <w:color w:val="0000FF"/>
        </w:rPr>
        <w:t xml:space="preserve">1a.5.4. </w:t>
      </w:r>
      <w:r w:rsidR="00C54E40" w:rsidRPr="003B1CC5">
        <w:t>Provide all other grades and associated definitions for recommendation</w:t>
      </w:r>
      <w:r w:rsidR="00205857" w:rsidRPr="003B1CC5">
        <w:t>s</w:t>
      </w:r>
      <w:r w:rsidR="00C54E40" w:rsidRPr="003B1CC5">
        <w:t xml:space="preserve"> in the grading system.</w:t>
      </w:r>
      <w:r w:rsidRPr="003B1CC5">
        <w:t xml:space="preserve"> </w:t>
      </w:r>
      <w:r w:rsidRPr="00164DC8">
        <w:rPr>
          <w:b w:val="0"/>
        </w:rPr>
        <w:t>(</w:t>
      </w:r>
      <w:r w:rsidRPr="00164DC8">
        <w:rPr>
          <w:b w:val="0"/>
          <w:i/>
        </w:rPr>
        <w:t>Note: the</w:t>
      </w:r>
      <w:r w:rsidRPr="00164DC8">
        <w:rPr>
          <w:b w:val="0"/>
        </w:rPr>
        <w:t xml:space="preserve"> </w:t>
      </w:r>
      <w:r w:rsidRPr="00164DC8">
        <w:rPr>
          <w:b w:val="0"/>
          <w:i/>
        </w:rPr>
        <w:t>grading system for the evidence should be reported in section 1a.7.</w:t>
      </w:r>
      <w:r w:rsidR="00095EC9" w:rsidRPr="00164DC8">
        <w:rPr>
          <w:b w:val="0"/>
        </w:rPr>
        <w:t>)</w:t>
      </w:r>
    </w:p>
    <w:p w14:paraId="1E183519" w14:textId="7C46B7C9" w:rsidR="003A202B" w:rsidRPr="00015304" w:rsidRDefault="000438AF" w:rsidP="003A202B">
      <w:pPr>
        <w:pStyle w:val="Response"/>
      </w:pPr>
      <w:r>
        <w:t>Not applicable.</w:t>
      </w:r>
    </w:p>
    <w:p w14:paraId="21B9CF6F" w14:textId="77777777" w:rsidR="00A12762" w:rsidRPr="003B1CC5" w:rsidRDefault="008A45F3" w:rsidP="00D94795">
      <w:pPr>
        <w:pStyle w:val="Question"/>
      </w:pPr>
      <w:r w:rsidRPr="003B1CC5">
        <w:rPr>
          <w:color w:val="0000FF"/>
        </w:rPr>
        <w:t>1a.5.5</w:t>
      </w:r>
      <w:r w:rsidR="00A12762" w:rsidRPr="003B1CC5">
        <w:rPr>
          <w:color w:val="0000FF"/>
        </w:rPr>
        <w:t>.</w:t>
      </w:r>
      <w:r w:rsidR="00A12762" w:rsidRPr="003B1CC5">
        <w:t xml:space="preserve"> </w:t>
      </w:r>
      <w:r w:rsidRPr="003B1CC5">
        <w:t xml:space="preserve">Citation and </w:t>
      </w:r>
      <w:r w:rsidR="00A12762" w:rsidRPr="003B1CC5">
        <w:t>URL for methodology for grading</w:t>
      </w:r>
      <w:r w:rsidRPr="003B1CC5">
        <w:t xml:space="preserve"> recommendations</w:t>
      </w:r>
      <w:r w:rsidR="00AD79C8" w:rsidRPr="003B1CC5">
        <w:t xml:space="preserve"> </w:t>
      </w:r>
      <w:r w:rsidR="00AD79C8" w:rsidRPr="00164DC8">
        <w:rPr>
          <w:b w:val="0"/>
        </w:rPr>
        <w:t>(</w:t>
      </w:r>
      <w:r w:rsidR="00AD79C8" w:rsidRPr="00164DC8">
        <w:rPr>
          <w:b w:val="0"/>
          <w:i/>
        </w:rPr>
        <w:t xml:space="preserve">if </w:t>
      </w:r>
      <w:r w:rsidRPr="00164DC8">
        <w:rPr>
          <w:b w:val="0"/>
          <w:i/>
        </w:rPr>
        <w:t>different from 1a.5.1</w:t>
      </w:r>
      <w:r w:rsidR="00AD79C8" w:rsidRPr="00164DC8">
        <w:rPr>
          <w:b w:val="0"/>
        </w:rPr>
        <w:t>)</w:t>
      </w:r>
      <w:r w:rsidR="00A12762" w:rsidRPr="00164DC8">
        <w:rPr>
          <w:b w:val="0"/>
        </w:rPr>
        <w:t>:</w:t>
      </w:r>
    </w:p>
    <w:p w14:paraId="70579682" w14:textId="40058DEF" w:rsidR="003A202B" w:rsidRPr="00015304" w:rsidRDefault="000438AF" w:rsidP="003A202B">
      <w:pPr>
        <w:pStyle w:val="Response"/>
      </w:pPr>
      <w:r>
        <w:t>Not applicable.</w:t>
      </w:r>
    </w:p>
    <w:p w14:paraId="6B35FA7A" w14:textId="77777777" w:rsidR="00EE5AF6" w:rsidRPr="003B1CC5" w:rsidRDefault="00923295" w:rsidP="002E2177">
      <w:pPr>
        <w:ind w:left="432" w:hanging="432"/>
        <w:rPr>
          <w:i/>
        </w:rPr>
      </w:pPr>
      <w:r w:rsidRPr="001E34D4">
        <w:rPr>
          <w:b/>
          <w:i/>
        </w:rPr>
        <w:t xml:space="preserve">Complete section </w:t>
      </w:r>
      <w:hyperlink w:anchor="Section1a7" w:history="1">
        <w:r w:rsidR="009477D6" w:rsidRPr="001E34D4">
          <w:rPr>
            <w:rStyle w:val="Hyperlink"/>
            <w:b/>
            <w:i/>
          </w:rPr>
          <w:t>1a.7</w:t>
        </w:r>
      </w:hyperlink>
    </w:p>
    <w:p w14:paraId="10D700E6" w14:textId="77777777" w:rsidR="00EE5AF6" w:rsidRPr="00D94795" w:rsidRDefault="00925F11" w:rsidP="00D94795">
      <w:pPr>
        <w:pStyle w:val="LineDivider"/>
      </w:pPr>
      <w:r w:rsidRPr="00D94795">
        <w:t>_________________________</w:t>
      </w:r>
    </w:p>
    <w:p w14:paraId="234A44A8" w14:textId="77777777" w:rsidR="001E34D4" w:rsidRPr="0051304C" w:rsidRDefault="00EE5AF6" w:rsidP="001E34D4">
      <w:pPr>
        <w:pStyle w:val="Heading2"/>
      </w:pPr>
      <w:bookmarkStart w:id="8" w:name="Section1a6"/>
      <w:bookmarkEnd w:id="8"/>
      <w:r w:rsidRPr="003B1CC5">
        <w:rPr>
          <w:color w:val="0000FF"/>
        </w:rPr>
        <w:t>1</w:t>
      </w:r>
      <w:r w:rsidR="009E37BD" w:rsidRPr="003B1CC5">
        <w:rPr>
          <w:color w:val="0000FF"/>
        </w:rPr>
        <w:t>a</w:t>
      </w:r>
      <w:r w:rsidRPr="003B1CC5">
        <w:rPr>
          <w:color w:val="0000FF"/>
        </w:rPr>
        <w:t>.6</w:t>
      </w:r>
      <w:r w:rsidR="00CB06C9" w:rsidRPr="003B1CC5">
        <w:rPr>
          <w:color w:val="0000FF"/>
        </w:rPr>
        <w:t>.</w:t>
      </w:r>
      <w:r w:rsidRPr="003B1CC5">
        <w:rPr>
          <w:color w:val="0000FF"/>
        </w:rPr>
        <w:t xml:space="preserve"> </w:t>
      </w:r>
      <w:r w:rsidR="001E34D4" w:rsidRPr="0051304C">
        <w:t>OTHER SYSTEMATIC REVIEW OF THE BODY OF EVIDENCE</w:t>
      </w:r>
    </w:p>
    <w:p w14:paraId="7338B759" w14:textId="77777777" w:rsidR="00D94795" w:rsidRDefault="00EE5AF6" w:rsidP="00D94795">
      <w:pPr>
        <w:pStyle w:val="Question"/>
      </w:pPr>
      <w:r w:rsidRPr="003B1CC5">
        <w:rPr>
          <w:color w:val="0000FF"/>
        </w:rPr>
        <w:t>1</w:t>
      </w:r>
      <w:r w:rsidR="009E37BD" w:rsidRPr="003B1CC5">
        <w:rPr>
          <w:color w:val="0000FF"/>
        </w:rPr>
        <w:t>a</w:t>
      </w:r>
      <w:r w:rsidRPr="003B1CC5">
        <w:rPr>
          <w:color w:val="0000FF"/>
        </w:rPr>
        <w:t>.6.1.</w:t>
      </w:r>
      <w:r w:rsidRPr="003B1CC5">
        <w:t xml:space="preserve"> Citation </w:t>
      </w:r>
      <w:r w:rsidRPr="00164DC8">
        <w:rPr>
          <w:b w:val="0"/>
        </w:rPr>
        <w:t>(including date)</w:t>
      </w:r>
      <w:r w:rsidR="00EA79C9" w:rsidRPr="00164DC8">
        <w:rPr>
          <w:b w:val="0"/>
        </w:rPr>
        <w:t xml:space="preserve"> and</w:t>
      </w:r>
      <w:r w:rsidR="00EA79C9" w:rsidRPr="003B1CC5">
        <w:t xml:space="preserve"> URL </w:t>
      </w:r>
      <w:r w:rsidR="00EA79C9" w:rsidRPr="00164DC8">
        <w:rPr>
          <w:b w:val="0"/>
        </w:rPr>
        <w:t>(</w:t>
      </w:r>
      <w:r w:rsidR="00EA79C9" w:rsidRPr="00164DC8">
        <w:rPr>
          <w:b w:val="0"/>
          <w:i/>
        </w:rPr>
        <w:t>if available online</w:t>
      </w:r>
      <w:r w:rsidR="00EA79C9" w:rsidRPr="00164DC8">
        <w:rPr>
          <w:b w:val="0"/>
        </w:rPr>
        <w:t>):</w:t>
      </w:r>
    </w:p>
    <w:p w14:paraId="61DEB4C3" w14:textId="3391D63A" w:rsidR="001E34D4" w:rsidRDefault="001E34D4" w:rsidP="001E34D4">
      <w:pPr>
        <w:pStyle w:val="Response"/>
      </w:pPr>
      <w:r>
        <w:t>1.</w:t>
      </w:r>
      <w:r>
        <w:tab/>
        <w:t>Chan</w:t>
      </w:r>
      <w:r w:rsidR="006402D8" w:rsidRPr="006402D8">
        <w:t xml:space="preserve">, T. C., Fan-Ngai Hung, I., Ka-Hay Luk, J., Chu, L. W., </w:t>
      </w:r>
      <w:r w:rsidR="00E70E76">
        <w:t>and</w:t>
      </w:r>
      <w:r w:rsidR="006402D8" w:rsidRPr="006402D8">
        <w:t xml:space="preserve"> Hon-Wai Chan, F. (2014). Effectiveness of influenza vaccination in institutionalized older adults: A systematic review. </w:t>
      </w:r>
      <w:r w:rsidR="006402D8" w:rsidRPr="006402D8">
        <w:rPr>
          <w:i/>
        </w:rPr>
        <w:t>Journal of the American Medical Directors Association</w:t>
      </w:r>
      <w:r w:rsidR="006402D8" w:rsidRPr="006402D8">
        <w:t xml:space="preserve">, </w:t>
      </w:r>
      <w:r w:rsidR="006402D8" w:rsidRPr="006402D8">
        <w:rPr>
          <w:i/>
        </w:rPr>
        <w:t>15</w:t>
      </w:r>
      <w:r w:rsidR="006402D8" w:rsidRPr="006402D8">
        <w:t>(3), 226.e1–226.e6. doi:10.1016/j.jamda.2013.10.008</w:t>
      </w:r>
    </w:p>
    <w:p w14:paraId="37C9782E" w14:textId="77777777" w:rsidR="001E34D4" w:rsidRDefault="001E34D4" w:rsidP="001E34D4">
      <w:pPr>
        <w:pStyle w:val="Response"/>
        <w:ind w:left="0" w:firstLine="0"/>
      </w:pPr>
      <w:r>
        <w:t>INTRODUCTION: Influenza infection is common among institutionalized older adults. Many nonrandomized observational studies on influenza vaccination suggested that it could reduce influenza-related hospitalizations and mortality in institutionalized older adults. Criticism regarding the effectiveness of influenza vaccine estimated by nonrandomized observational studies include the frailty selection bias and use of nonspecific outcome, such as all-cause mortality.</w:t>
      </w:r>
    </w:p>
    <w:p w14:paraId="4714404C" w14:textId="77777777" w:rsidR="001E34D4" w:rsidRDefault="001E34D4" w:rsidP="001E34D4">
      <w:pPr>
        <w:pStyle w:val="Response"/>
        <w:ind w:left="0" w:firstLine="0"/>
      </w:pPr>
      <w:r>
        <w:t>METHODS: We conducted a systematic review of studies of influenza vaccination in institutionalized older adults to determine the effects on clinical outcomes. We searched for studies from 3 databases from 1946 to June 2013 assessing effectiveness against influenza infection. We selected studies with good comparability between vaccine group and control group. We expressed vaccine effectiveness (VE) as a proportion, using the formula VE = 1-relative risk or 1-odds ratio. We focused on the following outcomes: influenza-like illness (ILI), laboratory confirmed influenza, hospitalizations due to ILI, or pneumonia and death due to influenza or pneumonia. We did not include all-cause mortality.</w:t>
      </w:r>
    </w:p>
    <w:p w14:paraId="6EF3774D" w14:textId="77777777" w:rsidR="001E34D4" w:rsidRDefault="001E34D4" w:rsidP="001E34D4">
      <w:pPr>
        <w:pStyle w:val="Response"/>
        <w:ind w:left="0" w:firstLine="0"/>
      </w:pPr>
      <w:r>
        <w:t>RESULTS: Eleven studies that satisfied the inclusion criteria were identified, representing 11,262 institutionalized older adults. After meta-analysis, we found a significant reduction in pneumonia (VE: 37%, 95% confidence interval [CI]: 18%-53%, P = .001) and death due to pneumonia or influenza (VE: 34%, CI: 10%-53%, P = .01). There was no significant heterogeneity between studies. There was no significant publication bias.</w:t>
      </w:r>
    </w:p>
    <w:p w14:paraId="0D34C10F" w14:textId="77777777" w:rsidR="001E34D4" w:rsidRDefault="001E34D4" w:rsidP="001E34D4">
      <w:pPr>
        <w:pStyle w:val="Response"/>
        <w:ind w:left="0" w:firstLine="0"/>
      </w:pPr>
      <w:r>
        <w:t>CONCLUSION: Influenza vaccination in institutionalized older adults could reduce pneumonia and death due to pneumonia or influenza. Influenza vaccination is recommended for institutionalized older adults.</w:t>
      </w:r>
    </w:p>
    <w:p w14:paraId="3BDF0822" w14:textId="7830068A" w:rsidR="001E34D4" w:rsidRDefault="001E34D4" w:rsidP="001E34D4">
      <w:pPr>
        <w:pStyle w:val="Response"/>
      </w:pPr>
      <w:r w:rsidRPr="00FD6C7C">
        <w:t>2.</w:t>
      </w:r>
      <w:r w:rsidRPr="00FD6C7C">
        <w:tab/>
      </w:r>
      <w:r w:rsidR="00FD6C7C" w:rsidRPr="00D36F3B">
        <w:rPr>
          <w:rFonts w:eastAsia="Times New Roman"/>
          <w:szCs w:val="24"/>
        </w:rPr>
        <w:t xml:space="preserve">Jefferson, T., Di Pietrantonj, C., Al-Ansary, L. A., Ferroni, E., Thorning, S., </w:t>
      </w:r>
      <w:r w:rsidR="00E70E76">
        <w:rPr>
          <w:rFonts w:eastAsia="Times New Roman"/>
          <w:szCs w:val="24"/>
        </w:rPr>
        <w:t>and</w:t>
      </w:r>
      <w:r w:rsidR="00FD6C7C" w:rsidRPr="00D36F3B">
        <w:rPr>
          <w:rFonts w:eastAsia="Times New Roman"/>
          <w:szCs w:val="24"/>
        </w:rPr>
        <w:t xml:space="preserve"> Thomas, R. E. (2010, February 17). Vaccines for preventing influenza in the elderly. </w:t>
      </w:r>
      <w:r w:rsidR="00FD6C7C" w:rsidRPr="00D36F3B">
        <w:rPr>
          <w:rFonts w:eastAsia="Times New Roman"/>
          <w:i/>
          <w:szCs w:val="24"/>
        </w:rPr>
        <w:t>Cochrane Database of Systematic Reviews</w:t>
      </w:r>
      <w:r w:rsidR="00FD6C7C" w:rsidRPr="00D36F3B">
        <w:rPr>
          <w:rFonts w:eastAsia="Times New Roman"/>
          <w:szCs w:val="24"/>
        </w:rPr>
        <w:t>, (2): CD004876.</w:t>
      </w:r>
      <w:r w:rsidR="00FD6C7C">
        <w:t xml:space="preserve"> </w:t>
      </w:r>
      <w:r w:rsidRPr="00FD6C7C">
        <w:t>doi:10.1002/14651858.CD004876.pub3.</w:t>
      </w:r>
    </w:p>
    <w:p w14:paraId="7647D637" w14:textId="6B5E2B3C" w:rsidR="001E34D4" w:rsidRDefault="001E34D4" w:rsidP="001E34D4">
      <w:pPr>
        <w:pStyle w:val="Response"/>
        <w:ind w:left="0" w:firstLine="0"/>
      </w:pPr>
      <w:r>
        <w:t xml:space="preserve">BACKGROUND: Vaccines have been the main global weapon to </w:t>
      </w:r>
      <w:r w:rsidR="00620820">
        <w:t>minimize</w:t>
      </w:r>
      <w:r>
        <w:t xml:space="preserve"> the impact of influenza in the elderly for the last four decades and are recommended worldwide for individuals aged 65 years or older. The primary goal of influenza vaccination in the elderly is to reduce the risk of complications among persons who are most vulnerable.</w:t>
      </w:r>
    </w:p>
    <w:p w14:paraId="3CF20254" w14:textId="77777777" w:rsidR="001E34D4" w:rsidRDefault="001E34D4" w:rsidP="001E34D4">
      <w:pPr>
        <w:pStyle w:val="Response"/>
        <w:ind w:left="0" w:firstLine="0"/>
      </w:pPr>
      <w:r>
        <w:t>OBJECTIVES: To assess the effectiveness of vaccines in preventing influenza, influenza-like illness (ILI), hospital admissions, complications and mortality in the elderly. To identify and appraise comparative studies evaluating the effects of influenza vaccines in the elderly. To document types and frequency of adverse effects associated with influenza vaccines in the elderly.</w:t>
      </w:r>
    </w:p>
    <w:p w14:paraId="2B501E38" w14:textId="1A78DCB0" w:rsidR="001E34D4" w:rsidRDefault="001E34D4" w:rsidP="001E34D4">
      <w:pPr>
        <w:pStyle w:val="Response"/>
        <w:ind w:left="0" w:firstLine="0"/>
      </w:pPr>
      <w:r>
        <w:t xml:space="preserve">SEARCH STRATEGY: We searched the Cochrane Central Register of Controlled Trials (CENTRAL), which contains the Cochrane Acute Respiratory Infections (ARI) Group's </w:t>
      </w:r>
      <w:r w:rsidR="00620820">
        <w:t>Specialized</w:t>
      </w:r>
      <w:r>
        <w:t xml:space="preserve"> Register (The Cochrane Library 2009, issue 4); MEDLINE (January 1966 to October Week 1 2009); EMBASE (1974 to October 2009) and Web of Science (1974 to October 2009).</w:t>
      </w:r>
    </w:p>
    <w:p w14:paraId="3BA40BAF" w14:textId="6DD2E745" w:rsidR="001E34D4" w:rsidRDefault="001E34D4" w:rsidP="001E34D4">
      <w:pPr>
        <w:pStyle w:val="Response"/>
        <w:ind w:left="0" w:firstLine="0"/>
      </w:pPr>
      <w:r>
        <w:t xml:space="preserve">SELECTION CRITERIA: </w:t>
      </w:r>
      <w:r w:rsidR="00620820">
        <w:t>Randomized</w:t>
      </w:r>
      <w:r>
        <w:t xml:space="preserve"> controlled trials (RCTs), quasi-RCTs, cohort and case-control studies assessing efficacy against influenza (laboratory-confirmed cases) or effectiveness against influenza-like illness (ILI) or safety. Any influenza vaccine given independently, in any dose, preparation or time schedule, compared with placebo or with no intervention was considered.</w:t>
      </w:r>
    </w:p>
    <w:p w14:paraId="1F60FB0A" w14:textId="3053919D" w:rsidR="001E34D4" w:rsidRDefault="001E34D4" w:rsidP="001E34D4">
      <w:pPr>
        <w:pStyle w:val="Response"/>
        <w:ind w:left="0" w:firstLine="0"/>
      </w:pPr>
      <w:r>
        <w:t xml:space="preserve">DATA COLLECTION AND ANALYSIS: We grouped reports first according to the setting of the study (community or long-term care facilities) and then by level of viral circulation and vaccine matching. We further stratified by co-administration of pneumococcal polysaccharide vaccine (PPV) and by different types of influenza vaccines. We </w:t>
      </w:r>
      <w:r w:rsidR="00620820">
        <w:t>analyzed</w:t>
      </w:r>
      <w:r>
        <w:t xml:space="preserve"> the following outcomes: influenza, influenza-like illness, hospital admissions, complications and deaths.</w:t>
      </w:r>
    </w:p>
    <w:p w14:paraId="668B6687" w14:textId="77777777" w:rsidR="001E34D4" w:rsidRDefault="001E34D4" w:rsidP="001E34D4">
      <w:pPr>
        <w:pStyle w:val="Response"/>
        <w:ind w:left="0" w:firstLine="0"/>
      </w:pPr>
      <w:r>
        <w:t>MAIN RESULTS: We included 75 studies. Overall we identified 100 data sets. We identified one RCT assessing efficacy and effectiveness. Although this seemed to show an effect against influenza symptoms it was underpowered to detect any effect on complications (1348 participants). The remainder of our evidence base included non-RCTs. Due to the general low quality of non-RCTs and the likely presence of biases, which make interpretation of these data difficult and any firm conclusions potentially misleading, we were unable to reach clear conclusions about the effects of the vaccines in the elderly.</w:t>
      </w:r>
    </w:p>
    <w:p w14:paraId="0CE93638" w14:textId="2C8667A2" w:rsidR="001E34D4" w:rsidRDefault="001E34D4" w:rsidP="001E34D4">
      <w:pPr>
        <w:pStyle w:val="Response"/>
        <w:ind w:left="0" w:firstLine="0"/>
      </w:pPr>
      <w:r>
        <w:t xml:space="preserve">AUTHORS' CONCLUSIONS: The available evidence is of poor quality and provides no guidance regarding the safety, efficacy or effectiveness of influenza vaccines for people aged 65 years or older. To resolve the uncertainty, an adequately powered publicly-funded </w:t>
      </w:r>
      <w:r w:rsidR="00620820">
        <w:t>randomized</w:t>
      </w:r>
      <w:r>
        <w:t>, placebo-controlled trial run over several seasons should be undertaken.</w:t>
      </w:r>
    </w:p>
    <w:p w14:paraId="7BE20052" w14:textId="42975DA0" w:rsidR="00BF6AB7" w:rsidRDefault="001E34D4" w:rsidP="00BF6AB7">
      <w:pPr>
        <w:pStyle w:val="Response"/>
      </w:pPr>
      <w:r>
        <w:t>3.</w:t>
      </w:r>
      <w:r>
        <w:tab/>
      </w:r>
      <w:r w:rsidR="00BF6AB7" w:rsidRPr="00FD6C7C">
        <w:t xml:space="preserve">Nagata, J. M., Hernández-Ramos, I., Kurup, A. S., Albrecht, D., Vivas-Torrealba, C., </w:t>
      </w:r>
      <w:r w:rsidR="00E70E76">
        <w:t>and</w:t>
      </w:r>
      <w:r w:rsidR="00BF6AB7" w:rsidRPr="00FD6C7C">
        <w:t xml:space="preserve"> Franco-Paredes, C. (2013). Social determinants of health and seasonal influenza vaccination in adults ≥65 years: A systematic review of qualitative and quantitative data. </w:t>
      </w:r>
      <w:r w:rsidR="00BF6AB7" w:rsidRPr="00FD6C7C">
        <w:rPr>
          <w:i/>
        </w:rPr>
        <w:t>BMC Public Health</w:t>
      </w:r>
      <w:r w:rsidR="00BF6AB7" w:rsidRPr="00FD6C7C">
        <w:t xml:space="preserve">, </w:t>
      </w:r>
      <w:r w:rsidR="00BF6AB7" w:rsidRPr="00FD6C7C">
        <w:rPr>
          <w:i/>
        </w:rPr>
        <w:t>13</w:t>
      </w:r>
      <w:r w:rsidR="00BF6AB7" w:rsidRPr="00FD6C7C">
        <w:t>(1), 388. doi:10.1186/1471-2458-13-388</w:t>
      </w:r>
    </w:p>
    <w:p w14:paraId="28333E74" w14:textId="77777777" w:rsidR="00BF6AB7" w:rsidRDefault="00BF6AB7" w:rsidP="00BF6AB7">
      <w:pPr>
        <w:pStyle w:val="Response"/>
        <w:ind w:left="0" w:firstLine="0"/>
      </w:pPr>
      <w:r>
        <w:t>BACKGROUND: Vaccination against influenza is considered the most important public health intervention to prevent unnecessary hospitalizations and premature deaths related to influenza in the elderly, though there are significant inequities among global influenza vaccine resources, capacities, and policies. The objective of this study was to assess the social determinants of health preventing adults ≥ 65 years old from accessing and accepting seasonal influenza vaccination.</w:t>
      </w:r>
    </w:p>
    <w:p w14:paraId="50EFBAF0" w14:textId="77777777" w:rsidR="00BF6AB7" w:rsidRDefault="00BF6AB7" w:rsidP="00BF6AB7">
      <w:pPr>
        <w:pStyle w:val="Response"/>
        <w:ind w:left="0" w:firstLine="0"/>
      </w:pPr>
      <w:r>
        <w:t>METHODS: A systematic search was performed in January 2011 using MEDLINE, ISI—Web of Science, PsycINFO, and CINAHL (1980-2011). Reference lists of articles were also examined. Selection criteria included qualitative and quantitative studies written in English that examined social determinants of and barriers against seasonal influenza vaccination among adults ≥ 65 years. Two authors performed the quality assessment and data extraction. Thematic analysis was the main approach for joint synthesis, using identification and juxtaposition of themes associated with vaccination.</w:t>
      </w:r>
    </w:p>
    <w:p w14:paraId="17E35804" w14:textId="77777777" w:rsidR="00BF6AB7" w:rsidRDefault="00BF6AB7" w:rsidP="00BF6AB7">
      <w:pPr>
        <w:pStyle w:val="Response"/>
        <w:ind w:left="0" w:firstLine="0"/>
      </w:pPr>
      <w:r>
        <w:t>RESULTS: Overall, 58 studies were analyzed. Structural social determinants such as age, gender, marital status, education, ethnicity, socio-economic status, social and cultural values, as well as intermediary determinants including housing-place of residence, behavioral beliefs, social influences, previous vaccine experiences, perceived susceptibility, sources of information, and perceived health status influenced seasonal influenza vaccination. Healthcare system related factors including accessibility, affordability, knowledge and attitudes about vaccination, and physicians' advice were also important determinants of vaccination.</w:t>
      </w:r>
    </w:p>
    <w:p w14:paraId="07B4483B" w14:textId="77777777" w:rsidR="00BF6AB7" w:rsidRDefault="00BF6AB7" w:rsidP="00BF6AB7">
      <w:pPr>
        <w:pStyle w:val="Response"/>
        <w:ind w:left="0" w:firstLine="0"/>
      </w:pPr>
      <w:r>
        <w:t>CONCLUSIONS: Our results demonstrate that the ability of adults ≥ 65 years to receive seasonal influenza vaccine is influenced by structural, intermediate, and healthcare-related social determinants which have an impact at the health system, provider, and individual levels.</w:t>
      </w:r>
    </w:p>
    <w:p w14:paraId="33C2530B" w14:textId="77777777" w:rsidR="00BF6AB7" w:rsidRDefault="00BF6AB7" w:rsidP="001E34D4">
      <w:pPr>
        <w:pStyle w:val="Response"/>
      </w:pPr>
    </w:p>
    <w:p w14:paraId="69D1A868" w14:textId="5C904871" w:rsidR="001E34D4" w:rsidRDefault="00BF6AB7" w:rsidP="001E34D4">
      <w:pPr>
        <w:pStyle w:val="Response"/>
      </w:pPr>
      <w:r>
        <w:t xml:space="preserve">4.     </w:t>
      </w:r>
      <w:r w:rsidR="006402D8" w:rsidRPr="006402D8">
        <w:t xml:space="preserve">Orenstein, E. W., De Serres, G., Haber, M. J., Shay, D. K., Bridges, C. B., Gargiullo, P., </w:t>
      </w:r>
      <w:r w:rsidR="00E70E76">
        <w:t>and</w:t>
      </w:r>
      <w:r w:rsidR="006402D8" w:rsidRPr="006402D8">
        <w:t xml:space="preserve"> Orenstein, W. A. (2007). Methodologic issues regarding the use of three observational study designs to assess influenza vaccine effectiveness. </w:t>
      </w:r>
      <w:r w:rsidR="006402D8" w:rsidRPr="006402D8">
        <w:rPr>
          <w:i/>
        </w:rPr>
        <w:t>International Journal of Epidemiology</w:t>
      </w:r>
      <w:r w:rsidR="006402D8" w:rsidRPr="006402D8">
        <w:t xml:space="preserve">, </w:t>
      </w:r>
      <w:r w:rsidR="006402D8" w:rsidRPr="006402D8">
        <w:rPr>
          <w:i/>
        </w:rPr>
        <w:t>36</w:t>
      </w:r>
      <w:r w:rsidR="006402D8" w:rsidRPr="006402D8">
        <w:t>(3), 623–631. doi:10.1093/ije/dym021</w:t>
      </w:r>
    </w:p>
    <w:p w14:paraId="2B36821D" w14:textId="77777777" w:rsidR="001E34D4" w:rsidRDefault="001E34D4" w:rsidP="001E34D4">
      <w:pPr>
        <w:pStyle w:val="Response"/>
        <w:ind w:left="0" w:firstLine="0"/>
      </w:pPr>
      <w:r>
        <w:t>BACKGROUND: Influenza causes substantial morbidity and annual vaccination is the most important prevention strategy. Accurately measuring vaccine effectiveness (VE) is difficult. The clinical syndrome most closely associated with influenza virus infection, influenza-like illness (ILI), is not specific. In addition, laboratory confirmation is infrequently done, and available rapid diagnostic tests are imperfect. The objective of this study was to estimate the joint impact of rapid diagnostic test sensitivity and specificity on VE for three types of study designs: a cohort study, a traditional case-control study, and a case-control study that used as controls individuals with ILI who tested negative for influenza virus infection.</w:t>
      </w:r>
    </w:p>
    <w:p w14:paraId="652A4E53" w14:textId="77777777" w:rsidR="001E34D4" w:rsidRDefault="001E34D4" w:rsidP="001E34D4">
      <w:pPr>
        <w:pStyle w:val="Response"/>
        <w:ind w:left="0" w:firstLine="0"/>
      </w:pPr>
      <w:r>
        <w:t>METHODS: We developed a mathematical model with five input parameters: true VE, attack rates (ARs) of influenza-ILI and non-influenza-ILI and the sensitivity and specificity of the diagnostic test.</w:t>
      </w:r>
    </w:p>
    <w:p w14:paraId="230BC469" w14:textId="77777777" w:rsidR="001E34D4" w:rsidRDefault="001E34D4" w:rsidP="001E34D4">
      <w:pPr>
        <w:pStyle w:val="Response"/>
        <w:ind w:left="0" w:firstLine="0"/>
      </w:pPr>
      <w:r>
        <w:t>RESULTS: With imperfect specificity, estimates from all three designs tended to underestimate true VE, but were similar except if fairly extreme inputs were used. Only if test specificity was 95% or more or if influenza attack rates doubled that of background illness did the case-control method slightly overestimate VE. The case-control method usually produced the highest and most accurate estimates, followed by the test-negative design. The bias toward underestimating true VE introduced by low test specificity increased as the AR of influenza- relative to non-influenza-ILI decreases and, to a lesser degree, with lower test sensitivity.</w:t>
      </w:r>
    </w:p>
    <w:p w14:paraId="157AA619" w14:textId="77777777" w:rsidR="001E34D4" w:rsidRDefault="001E34D4" w:rsidP="001E34D4">
      <w:pPr>
        <w:pStyle w:val="Response"/>
        <w:ind w:left="0" w:firstLine="0"/>
      </w:pPr>
      <w:r>
        <w:t>CONCLUSIONS: Demonstration of a high influenza VE using tests with imperfect sensitivity and specificity should provide reassurance that the program has been effective in reducing influenza illnesses, assuming adequate control of confounding factors.</w:t>
      </w:r>
    </w:p>
    <w:p w14:paraId="1D42B82B" w14:textId="4C99BB8F" w:rsidR="001E34D4" w:rsidRDefault="00BF6AB7" w:rsidP="001E34D4">
      <w:pPr>
        <w:pStyle w:val="Response"/>
      </w:pPr>
      <w:r>
        <w:t>5</w:t>
      </w:r>
      <w:r w:rsidR="001E34D4">
        <w:t>.</w:t>
      </w:r>
      <w:r w:rsidR="001E34D4">
        <w:tab/>
      </w:r>
      <w:r w:rsidR="006402D8" w:rsidRPr="006402D8">
        <w:t xml:space="preserve">Osterholm, M. T., Kelley, N. S., Sommer, A., </w:t>
      </w:r>
      <w:r w:rsidR="00E70E76">
        <w:t>and</w:t>
      </w:r>
      <w:r w:rsidR="006402D8" w:rsidRPr="006402D8">
        <w:t xml:space="preserve"> Belongia, E. A. (2012). Efficacy and effectiveness of influenza vaccines: A systematic review and meta-analysis. </w:t>
      </w:r>
      <w:r w:rsidR="006402D8" w:rsidRPr="006402D8">
        <w:rPr>
          <w:i/>
        </w:rPr>
        <w:t>The Lancet Infectious Diseases</w:t>
      </w:r>
      <w:r w:rsidR="006402D8" w:rsidRPr="006402D8">
        <w:t xml:space="preserve">, </w:t>
      </w:r>
      <w:r w:rsidR="006402D8" w:rsidRPr="006402D8">
        <w:rPr>
          <w:i/>
        </w:rPr>
        <w:t>12</w:t>
      </w:r>
      <w:r w:rsidR="006402D8" w:rsidRPr="006402D8">
        <w:t>(1), 36–44. doi:10.1016/S1473-3099(11)70295-X</w:t>
      </w:r>
    </w:p>
    <w:p w14:paraId="23A00E1C" w14:textId="77777777" w:rsidR="001E34D4" w:rsidRDefault="001E34D4" w:rsidP="001E34D4">
      <w:pPr>
        <w:pStyle w:val="Response"/>
        <w:ind w:left="0" w:firstLine="0"/>
      </w:pPr>
      <w:r>
        <w:t>BACKGROUND: No published meta-analyses have assessed efficacy and effectiveness of licensed influenza vaccines in the USA with sensitive and highly specific diagnostic tests to confirm influenza.</w:t>
      </w:r>
    </w:p>
    <w:p w14:paraId="4E49FC65" w14:textId="6FC52ECF" w:rsidR="001E34D4" w:rsidRDefault="001E34D4" w:rsidP="001E34D4">
      <w:pPr>
        <w:pStyle w:val="Response"/>
        <w:ind w:left="0" w:firstLine="0"/>
      </w:pPr>
      <w:r>
        <w:t xml:space="preserve">METHODS: We searched Medline for </w:t>
      </w:r>
      <w:r w:rsidR="00620820">
        <w:t>randomized</w:t>
      </w:r>
      <w:r>
        <w:t xml:space="preserve"> controlled trials assessing a relative reduction in influenza risk of all circulating influenza viruses during individual seasons after vaccination (efficacy) and observational studies meeting inclusion criteria (effectiveness). Eligible articles were published between Jan 1, 1967, and Feb 15, 2011, and used RT-PCR or culture for confirmation of influenza. We excluded some studies on the basis of study design and vaccine characteristics. We estimated random-effects pooled efficacy for trivalent inactivated vaccine (TIV) and live attenuated influenza vaccine (LAIV) when data were available for statistical analysis (</w:t>
      </w:r>
      <w:r w:rsidR="00620820">
        <w:t>e.g.</w:t>
      </w:r>
      <w:r>
        <w:t>, at least three studies that assessed comparable age groups).</w:t>
      </w:r>
    </w:p>
    <w:p w14:paraId="07649FB0" w14:textId="0C633434" w:rsidR="001E34D4" w:rsidRDefault="001E34D4" w:rsidP="001E34D4">
      <w:pPr>
        <w:pStyle w:val="Response"/>
        <w:ind w:left="0" w:firstLine="0"/>
      </w:pPr>
      <w:r>
        <w:t xml:space="preserve">FINDINGS: We screened 5707 articles and identified 31 eligible studies (17 </w:t>
      </w:r>
      <w:r w:rsidR="00620820">
        <w:t>randomized</w:t>
      </w:r>
      <w:r>
        <w:t xml:space="preserve"> controlled trials and 14 observational studies). Efficacy of TIV was shown in eight (67%) of the 12 seasons </w:t>
      </w:r>
      <w:r w:rsidR="00620820">
        <w:t>analyzed</w:t>
      </w:r>
      <w:r>
        <w:t xml:space="preserve"> in ten </w:t>
      </w:r>
      <w:r w:rsidR="00620820">
        <w:t>randomized</w:t>
      </w:r>
      <w:r>
        <w:t xml:space="preserve"> controlled trials (pooled efficacy 59% [95% CI 51-67] in adults aged 18-65 years). No such trials met inclusion criteria for children aged 2-17 years or adults aged 65 years or older. Efficacy of LAIV was shown in nine (75%) of the 12 seasons </w:t>
      </w:r>
      <w:r w:rsidR="00620820">
        <w:t>analyzed</w:t>
      </w:r>
      <w:r>
        <w:t xml:space="preserve"> in ten </w:t>
      </w:r>
      <w:r w:rsidR="00620820">
        <w:t>randomized</w:t>
      </w:r>
      <w:r>
        <w:t xml:space="preserve"> controlled trials (pooled efficacy 83% [69-91]) in children aged 6 months to 7 years. No such trials met inclusion criteria for children aged 8-17 years. Vaccine effectiveness was variable for seasonal influenza: six (35%) of 17 analyses in nine studies showed significant protection against medically attended influenza in the outpatient or inpatient setting. Median monovalent pandemic H1N1 vaccine effectiveness in five observational studies was 69% (range 60-93).</w:t>
      </w:r>
    </w:p>
    <w:p w14:paraId="3A4ED31E" w14:textId="77777777" w:rsidR="001E34D4" w:rsidRDefault="001E34D4" w:rsidP="001E34D4">
      <w:pPr>
        <w:pStyle w:val="Response"/>
        <w:ind w:left="0" w:firstLine="0"/>
      </w:pPr>
      <w:r>
        <w:t>INTERPRETATION: Influenza vaccines can provide moderate protection against virologically confirmed influenza, but such protection is greatly reduced or absent in some seasons. Evidence for protection in adults aged 65 years or older is lacking. LAIVs consistently show highest efficacy in young children (aged 6 months to 7 years). New vaccines with improved clinical efficacy and effectiveness are needed to further reduce influenza-related morbidity and mortality.</w:t>
      </w:r>
    </w:p>
    <w:p w14:paraId="7D05F7DE" w14:textId="35701A9E" w:rsidR="001E34D4" w:rsidRDefault="00BF6AB7" w:rsidP="001E34D4">
      <w:pPr>
        <w:pStyle w:val="Response"/>
      </w:pPr>
      <w:r>
        <w:t>6</w:t>
      </w:r>
      <w:r w:rsidR="001E34D4">
        <w:t>.</w:t>
      </w:r>
      <w:r w:rsidR="001E34D4">
        <w:tab/>
      </w:r>
      <w:r w:rsidR="006402D8" w:rsidRPr="006402D8">
        <w:t xml:space="preserve">Remschmidt, C., Wichmann, O., </w:t>
      </w:r>
      <w:r w:rsidR="00E70E76">
        <w:t>and</w:t>
      </w:r>
      <w:r w:rsidR="006402D8" w:rsidRPr="006402D8">
        <w:t xml:space="preserve"> Harder, T. (2015). Vaccines for the prevention of seasonal influenza in patients with diabetes: Systematic review and meta-analysis. </w:t>
      </w:r>
      <w:r w:rsidR="006402D8" w:rsidRPr="006402D8">
        <w:rPr>
          <w:i/>
        </w:rPr>
        <w:t>BMC Medicine</w:t>
      </w:r>
      <w:r w:rsidR="006402D8" w:rsidRPr="006402D8">
        <w:t xml:space="preserve">, </w:t>
      </w:r>
      <w:r w:rsidR="006402D8" w:rsidRPr="006402D8">
        <w:rPr>
          <w:i/>
        </w:rPr>
        <w:t>13</w:t>
      </w:r>
      <w:r w:rsidR="006402D8" w:rsidRPr="006402D8">
        <w:t>(1), 53. doi:10.1186/s12916-015-0295-6</w:t>
      </w:r>
    </w:p>
    <w:p w14:paraId="6902F4E9" w14:textId="77777777" w:rsidR="001E34D4" w:rsidRDefault="001E34D4" w:rsidP="001E34D4">
      <w:pPr>
        <w:pStyle w:val="Response"/>
        <w:ind w:left="0" w:firstLine="0"/>
      </w:pPr>
      <w:r>
        <w:t>BACKGROUND: Patients with diabetes are at increased risk of severe influenza disease; influenza vaccination for these patients is therefore recommended by the World Health Organization and several National Immunization Technical Advisory Groups. However, no systematic review has evaluated the effects of influenza vaccines for patients with diabetes.</w:t>
      </w:r>
    </w:p>
    <w:p w14:paraId="317A72D3" w14:textId="77777777" w:rsidR="001E34D4" w:rsidRDefault="001E34D4" w:rsidP="001E34D4">
      <w:pPr>
        <w:pStyle w:val="Response"/>
        <w:ind w:left="0" w:firstLine="0"/>
      </w:pPr>
      <w:r>
        <w:t>METHODS: We conducted a systematic review and meta-analysis by searching Medline, Embase, Cochrane Central Register of Controlled Trials, and ClinicalTrials.gov from inception until November 2014. We included all types of studies reporting on the efficacy, effectiveness, and/or safety of influenza vaccination in patients with type 1 and type 2 diabetes of all ages. We used the Newcastle-Ottawa scale to assess risk of bias in observational studies. Residual confounding was addressed by comparing estimates of vaccine effectiveness (VE) during influenza seasons to those obtained during off-seasons. Quality of the evidence for each outcome was assessed using the GRADE methodology.</w:t>
      </w:r>
    </w:p>
    <w:p w14:paraId="4193DCDF" w14:textId="77777777" w:rsidR="001E34D4" w:rsidRDefault="001E34D4" w:rsidP="001E34D4">
      <w:pPr>
        <w:pStyle w:val="Response"/>
        <w:ind w:left="0" w:firstLine="0"/>
      </w:pPr>
      <w:r>
        <w:t>RESULTS: Following review of 1,444 articles, 11 observational studies with a total of 170,924 participants were included. In diabetic patients of working-age (18-64 years), influenza vaccination prevented all-cause hospitalization with a pooled VE of 58% (95% CI, 6-81%) and hospitalization due to influenza or pneumonia (VE 43%; 95% CI, 28-54%), whereas no effects on all-cause mortality and influenza-like illness (ILI) were observed. In the elderly (65+), influenza vaccination prevented all-cause mortality (VE 38%; 95% CI, 32-43%), all-cause hospitalization (VE 23%; 95% CI, 1-40%), hospitalization due to influenza or pneumonia (VE 45%; 95% CI, 34-53%), and ILI (VE 13%; 95% CI, 10-16%). However, significant off-season estimates for several outcomes indicated residual confounding, particularly in elderly patients. Quality of the evidence was low to very low for all outcomes. Laboratory-confirmed influenza infections were not reported.</w:t>
      </w:r>
    </w:p>
    <w:p w14:paraId="608D3725" w14:textId="77777777" w:rsidR="003A202B" w:rsidRPr="00015304" w:rsidRDefault="001E34D4" w:rsidP="001E34D4">
      <w:pPr>
        <w:pStyle w:val="Response"/>
        <w:ind w:left="0" w:firstLine="0"/>
      </w:pPr>
      <w:r>
        <w:t>CONCLUSIONS: Due to strong residual confounding in most of the identified studies, the available evidence is insufficient to determine the magnitude of benefit that diabetic people derive from seasonal influenza vaccination. Adequately powered randomized controlled trials or quasi-experimental studies using laboratory-confirmed influenza-specific outcomes are urgently needed.</w:t>
      </w:r>
    </w:p>
    <w:p w14:paraId="24896201" w14:textId="77777777" w:rsidR="00EE5AF6" w:rsidRPr="003B1CC5" w:rsidRDefault="00EE5AF6" w:rsidP="00D94795">
      <w:pPr>
        <w:pStyle w:val="Question"/>
      </w:pPr>
      <w:r w:rsidRPr="003B1CC5">
        <w:rPr>
          <w:color w:val="0000FF"/>
        </w:rPr>
        <w:t>1</w:t>
      </w:r>
      <w:r w:rsidR="009E37BD" w:rsidRPr="003B1CC5">
        <w:rPr>
          <w:color w:val="0000FF"/>
        </w:rPr>
        <w:t>a</w:t>
      </w:r>
      <w:r w:rsidR="00EA79C9" w:rsidRPr="003B1CC5">
        <w:rPr>
          <w:color w:val="0000FF"/>
        </w:rPr>
        <w:t>.6.2</w:t>
      </w:r>
      <w:r w:rsidRPr="003B1CC5">
        <w:rPr>
          <w:color w:val="0000FF"/>
        </w:rPr>
        <w:t>.</w:t>
      </w:r>
      <w:r w:rsidRPr="003B1CC5">
        <w:t xml:space="preserve"> </w:t>
      </w:r>
      <w:r w:rsidR="00030F43" w:rsidRPr="003B1CC5">
        <w:t xml:space="preserve">Citation and </w:t>
      </w:r>
      <w:r w:rsidR="00C84623" w:rsidRPr="003B1CC5">
        <w:t xml:space="preserve">URL for methodology for evidence review and grading </w:t>
      </w:r>
      <w:r w:rsidR="00C84623" w:rsidRPr="00164DC8">
        <w:rPr>
          <w:b w:val="0"/>
        </w:rPr>
        <w:t>(</w:t>
      </w:r>
      <w:r w:rsidR="00C84623" w:rsidRPr="00164DC8">
        <w:rPr>
          <w:b w:val="0"/>
          <w:i/>
        </w:rPr>
        <w:t xml:space="preserve">if </w:t>
      </w:r>
      <w:r w:rsidR="00030F43" w:rsidRPr="00164DC8">
        <w:rPr>
          <w:b w:val="0"/>
          <w:i/>
        </w:rPr>
        <w:t>different from 1a.6.1</w:t>
      </w:r>
      <w:r w:rsidR="00C84623" w:rsidRPr="00164DC8">
        <w:rPr>
          <w:b w:val="0"/>
        </w:rPr>
        <w:t>):</w:t>
      </w:r>
    </w:p>
    <w:p w14:paraId="458198DB" w14:textId="7F59A4D3" w:rsidR="003A202B" w:rsidRPr="00015304" w:rsidRDefault="006402D8" w:rsidP="001E34D4">
      <w:pPr>
        <w:pStyle w:val="Response"/>
        <w:ind w:left="0" w:firstLine="0"/>
      </w:pPr>
      <w:r w:rsidRPr="006402D8">
        <w:t xml:space="preserve">Chan, T. C., Fan-Ngai Hung, I., Ka-Hay Luk, J., Chu, L. W., </w:t>
      </w:r>
      <w:r w:rsidR="00E70E76">
        <w:t>and</w:t>
      </w:r>
      <w:r w:rsidRPr="006402D8">
        <w:t xml:space="preserve"> Hon-Wai Chan, F. (2014). Effectiveness of influenza vaccination in institutionalized older adults: A systematic review. </w:t>
      </w:r>
      <w:r w:rsidRPr="006402D8">
        <w:rPr>
          <w:i/>
        </w:rPr>
        <w:t>Journal of the American Medical Directors Association</w:t>
      </w:r>
      <w:r w:rsidRPr="006402D8">
        <w:t xml:space="preserve">, </w:t>
      </w:r>
      <w:r w:rsidRPr="006402D8">
        <w:rPr>
          <w:i/>
        </w:rPr>
        <w:t>15</w:t>
      </w:r>
      <w:r w:rsidRPr="006402D8">
        <w:t>(3), 226.e1–226.e6. doi:10.1016/j.jamda.2013.10.008</w:t>
      </w:r>
    </w:p>
    <w:p w14:paraId="17D1D0E5" w14:textId="77777777" w:rsidR="00C84623" w:rsidRPr="003B1CC5" w:rsidRDefault="00C84623" w:rsidP="00EE5AF6">
      <w:pPr>
        <w:ind w:left="0" w:firstLine="0"/>
      </w:pPr>
      <w:r w:rsidRPr="001E34D4">
        <w:rPr>
          <w:b/>
          <w:i/>
        </w:rPr>
        <w:t xml:space="preserve">Complete section </w:t>
      </w:r>
      <w:hyperlink w:anchor="Section1a7" w:history="1">
        <w:r w:rsidRPr="001E34D4">
          <w:rPr>
            <w:rStyle w:val="Hyperlink"/>
            <w:b/>
            <w:i/>
          </w:rPr>
          <w:t>1a.7</w:t>
        </w:r>
      </w:hyperlink>
    </w:p>
    <w:p w14:paraId="674791AB" w14:textId="77777777" w:rsidR="00C84623" w:rsidRPr="00D94795" w:rsidRDefault="00925F11" w:rsidP="00D94795">
      <w:pPr>
        <w:pStyle w:val="LineDivider"/>
      </w:pPr>
      <w:r w:rsidRPr="00D94795">
        <w:t>_________________________</w:t>
      </w:r>
    </w:p>
    <w:p w14:paraId="3FAC3AF7"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4D5EFA82" w14:textId="77777777" w:rsidR="00851466" w:rsidRPr="00164DC8" w:rsidRDefault="00851466" w:rsidP="00164DC8">
      <w:pPr>
        <w:ind w:left="0" w:firstLine="0"/>
      </w:pPr>
      <w:r w:rsidRPr="00164DC8">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29A5DE7A" w14:textId="77777777" w:rsidR="00564230" w:rsidRDefault="00564230" w:rsidP="001E34D4">
      <w:pPr>
        <w:pStyle w:val="Question"/>
        <w:rPr>
          <w:b w:val="0"/>
          <w:color w:val="0000FF"/>
        </w:rPr>
      </w:pPr>
    </w:p>
    <w:p w14:paraId="2AB21166" w14:textId="77777777" w:rsidR="00FD6C7C" w:rsidRDefault="00EE5AF6" w:rsidP="001E34D4">
      <w:pPr>
        <w:pStyle w:val="Question"/>
      </w:pPr>
      <w:r w:rsidRPr="003B1CC5">
        <w:rPr>
          <w:color w:val="0000FF"/>
        </w:rPr>
        <w:t>1</w:t>
      </w:r>
      <w:r w:rsidR="009E37BD" w:rsidRPr="003B1CC5">
        <w:rPr>
          <w:color w:val="0000FF"/>
        </w:rPr>
        <w:t>a</w:t>
      </w:r>
      <w:r w:rsidRPr="003B1CC5">
        <w:rPr>
          <w:color w:val="0000FF"/>
        </w:rPr>
        <w:t>.</w:t>
      </w:r>
      <w:r w:rsidR="00C84623" w:rsidRPr="003B1CC5">
        <w:rPr>
          <w:color w:val="0000FF"/>
        </w:rPr>
        <w:t>7.1</w:t>
      </w:r>
      <w:r w:rsidRPr="003B1CC5">
        <w:rPr>
          <w:color w:val="0000FF"/>
        </w:rPr>
        <w:t>.</w:t>
      </w:r>
      <w:r w:rsidR="001E34D4">
        <w:t xml:space="preserve"> </w:t>
      </w:r>
      <w:r w:rsidR="001E34D4" w:rsidRPr="0051304C">
        <w:t>What was the specific structure, treatment, intervention, service, or intermediate outcome addressed in the evidence review?</w:t>
      </w:r>
    </w:p>
    <w:p w14:paraId="4B09AA4C" w14:textId="5BE62085" w:rsidR="00FD6C7C" w:rsidRDefault="001E34D4" w:rsidP="001E34D4">
      <w:pPr>
        <w:pStyle w:val="Response"/>
        <w:ind w:left="0" w:firstLine="0"/>
      </w:pPr>
      <w:r>
        <w:t>Chan et al</w:t>
      </w:r>
      <w:r w:rsidR="007F6F9E">
        <w:t>.</w:t>
      </w:r>
      <w:r>
        <w:t xml:space="preserve"> (2014) conducted a meta-analysis through systematic review of studies of influenza vaccination in institutionalized older adults to determine the effects on clinical outcomes</w:t>
      </w:r>
      <w:r w:rsidR="004F50CD">
        <w:t>—</w:t>
      </w:r>
      <w:r>
        <w:t>specifically influenza-like illness (ILI), laboratory</w:t>
      </w:r>
      <w:r w:rsidR="004F50CD">
        <w:t>-</w:t>
      </w:r>
      <w:r>
        <w:t xml:space="preserve">confirmed influenza, hospitalizations due to ILI, </w:t>
      </w:r>
      <w:r w:rsidR="004F50CD">
        <w:t xml:space="preserve">and </w:t>
      </w:r>
      <w:r>
        <w:t>pneumonia and death due to influenza or pneumonia</w:t>
      </w:r>
      <w:r w:rsidR="004F50CD">
        <w:t>—</w:t>
      </w:r>
      <w:r>
        <w:t>while excluding all-cause mortality.</w:t>
      </w:r>
    </w:p>
    <w:p w14:paraId="303476C5" w14:textId="0C52440F" w:rsidR="00D94795" w:rsidRDefault="00EE5AF6" w:rsidP="00D94795">
      <w:pPr>
        <w:pStyle w:val="Question"/>
      </w:pPr>
      <w:r w:rsidRPr="003B1CC5">
        <w:rPr>
          <w:color w:val="0000FF"/>
        </w:rPr>
        <w:t>1</w:t>
      </w:r>
      <w:r w:rsidR="009E37BD" w:rsidRPr="003B1CC5">
        <w:rPr>
          <w:color w:val="0000FF"/>
        </w:rPr>
        <w:t>a</w:t>
      </w:r>
      <w:r w:rsidRPr="003B1CC5">
        <w:rPr>
          <w:color w:val="0000FF"/>
        </w:rPr>
        <w:t>.</w:t>
      </w:r>
      <w:r w:rsidR="00C84623" w:rsidRPr="003B1CC5">
        <w:rPr>
          <w:color w:val="0000FF"/>
        </w:rPr>
        <w:t>7.2</w:t>
      </w:r>
      <w:r w:rsidRPr="003B1CC5">
        <w:rPr>
          <w:color w:val="0000FF"/>
        </w:rPr>
        <w:t>.</w:t>
      </w:r>
      <w:r w:rsidRPr="003B1CC5">
        <w:rPr>
          <w:bCs/>
        </w:rPr>
        <w:t xml:space="preserve"> </w:t>
      </w:r>
      <w:r w:rsidRPr="003B1CC5">
        <w:t xml:space="preserve">Grade assigned </w:t>
      </w:r>
      <w:r w:rsidR="00E746A2" w:rsidRPr="003B1CC5">
        <w:t xml:space="preserve">for the quality of </w:t>
      </w:r>
      <w:r w:rsidRPr="003B1CC5">
        <w:t xml:space="preserve">the quoted evidence </w:t>
      </w:r>
      <w:r w:rsidRPr="003B1CC5">
        <w:rPr>
          <w:u w:val="single"/>
        </w:rPr>
        <w:t>with definition</w:t>
      </w:r>
      <w:r w:rsidRPr="003B1CC5">
        <w:t xml:space="preserve"> of the grade:</w:t>
      </w:r>
    </w:p>
    <w:p w14:paraId="6ED93308" w14:textId="685A5971" w:rsidR="00FD6C7C" w:rsidRDefault="001E34D4" w:rsidP="001E34D4">
      <w:pPr>
        <w:pStyle w:val="Response"/>
        <w:ind w:left="0" w:firstLine="0"/>
      </w:pPr>
      <w:r>
        <w:t>In a randomized controlled trial, Jadad’s</w:t>
      </w:r>
      <w:r w:rsidR="00987E30">
        <w:t xml:space="preserve"> </w:t>
      </w:r>
      <w:r w:rsidR="00620820">
        <w:t>system was</w:t>
      </w:r>
      <w:r>
        <w:t xml:space="preserve"> used by </w:t>
      </w:r>
      <w:r w:rsidR="004F50CD">
        <w:t>two</w:t>
      </w:r>
      <w:r>
        <w:t xml:space="preserve"> reviewers to score each report. In Jadad’s system, </w:t>
      </w:r>
      <w:r w:rsidR="004F50CD">
        <w:t>one</w:t>
      </w:r>
      <w:r>
        <w:t xml:space="preserve"> point is allocated for each of randomization, blinding, and description of withdrawals, and an additional point </w:t>
      </w:r>
      <w:r w:rsidR="004F50CD">
        <w:t xml:space="preserve">is </w:t>
      </w:r>
      <w:r>
        <w:t xml:space="preserve">added for each of the well-described methods of randomization and blinding. Points were subtracted for clearly inadequate randomization or blinding. The maximum possible score was </w:t>
      </w:r>
      <w:r w:rsidR="004F50CD">
        <w:t>five</w:t>
      </w:r>
      <w:r>
        <w:t xml:space="preserve"> points, and we took studies scoring less than </w:t>
      </w:r>
      <w:r w:rsidR="004F50CD">
        <w:t>three</w:t>
      </w:r>
      <w:r>
        <w:t xml:space="preserve"> to be of low methodological quality.</w:t>
      </w:r>
    </w:p>
    <w:p w14:paraId="5D6EA40D" w14:textId="6721B01E" w:rsidR="003A202B" w:rsidRDefault="001E34D4" w:rsidP="001E34D4">
      <w:pPr>
        <w:pStyle w:val="Response"/>
        <w:ind w:left="0" w:firstLine="0"/>
      </w:pPr>
      <w:r>
        <w:t xml:space="preserve">In nonrandomized observational studies, the Newcastle-Ottawa quality assessment scale was used by the </w:t>
      </w:r>
      <w:r w:rsidR="004F50CD">
        <w:t>two</w:t>
      </w:r>
      <w:r>
        <w:t xml:space="preserve"> reviewers to score each study. In the Newcastle-Ottawa quality assessment scale, any study is graded according to </w:t>
      </w:r>
      <w:r w:rsidR="004F50CD">
        <w:t>three</w:t>
      </w:r>
      <w:r>
        <w:t xml:space="preserve"> categories: selection, comparability, and outcome. There are </w:t>
      </w:r>
      <w:r w:rsidR="004F50CD">
        <w:t>four</w:t>
      </w:r>
      <w:r>
        <w:t xml:space="preserve"> items in selection (representativeness of the exposed cohort/case control study; selection of the nonexposed cohort/case control study; ascertainment of exposures; and demonstration that </w:t>
      </w:r>
      <w:r w:rsidR="004F50CD">
        <w:t xml:space="preserve">the </w:t>
      </w:r>
      <w:r>
        <w:t xml:space="preserve">outcome of interest was not present at start of study), </w:t>
      </w:r>
      <w:r w:rsidR="004F50CD">
        <w:t>one</w:t>
      </w:r>
      <w:r>
        <w:t xml:space="preserve"> item in comparability (comparability of cohorts on the basis of the design or analysis), and </w:t>
      </w:r>
      <w:r w:rsidR="004F50CD">
        <w:t>three</w:t>
      </w:r>
      <w:r>
        <w:t xml:space="preserve"> items in outcome (assessment of outcome; was followed long enough for outcomes to occur; and adequacy of follow-up of study). A study could</w:t>
      </w:r>
      <w:r w:rsidR="00FD6C7C">
        <w:t xml:space="preserve"> </w:t>
      </w:r>
      <w:r>
        <w:t xml:space="preserve">be awarded a maximum of </w:t>
      </w:r>
      <w:r w:rsidR="00BC4B7A">
        <w:t>one</w:t>
      </w:r>
      <w:r>
        <w:t xml:space="preserve"> star for each numbered item within the selection and outcome categories. A maximum of </w:t>
      </w:r>
      <w:r w:rsidR="00BC4B7A">
        <w:t>two</w:t>
      </w:r>
      <w:r>
        <w:t xml:space="preserve"> stars </w:t>
      </w:r>
      <w:r w:rsidR="00BC4B7A">
        <w:t xml:space="preserve">could </w:t>
      </w:r>
      <w:r>
        <w:t xml:space="preserve">be given for comparability. In this review, </w:t>
      </w:r>
      <w:r w:rsidR="00BC4B7A">
        <w:t>one</w:t>
      </w:r>
      <w:r>
        <w:t xml:space="preserve"> star would be given for comparability if age were compared between groups. Another star would be given if comorbidity and/or functional status were compared between groups in the study. The maximum possible score of </w:t>
      </w:r>
      <w:r w:rsidR="00BC4B7A">
        <w:t xml:space="preserve">the </w:t>
      </w:r>
      <w:r>
        <w:t xml:space="preserve">Newcastle-Ottawa quality assessment scale was </w:t>
      </w:r>
      <w:r w:rsidR="00BC4B7A">
        <w:t>nine</w:t>
      </w:r>
      <w:r>
        <w:t xml:space="preserve"> </w:t>
      </w:r>
      <w:r w:rsidR="00987E30">
        <w:t>stars</w:t>
      </w:r>
      <w:r>
        <w:t xml:space="preserve">. The researchers took studies scoring less than </w:t>
      </w:r>
      <w:r w:rsidR="00BC4B7A">
        <w:t>eight</w:t>
      </w:r>
      <w:r>
        <w:t xml:space="preserve"> to be of low methodological quality</w:t>
      </w:r>
      <w:r w:rsidR="00BC4B7A">
        <w:t>,</w:t>
      </w:r>
      <w:r>
        <w:t xml:space="preserve"> and only studies scoring </w:t>
      </w:r>
      <w:r w:rsidR="00BC4B7A">
        <w:t>two</w:t>
      </w:r>
      <w:r>
        <w:t xml:space="preserve"> in the comparability category were included in the review.</w:t>
      </w:r>
    </w:p>
    <w:p w14:paraId="74865307" w14:textId="1EE2C90A" w:rsidR="00987E30" w:rsidRPr="00015304" w:rsidRDefault="00987E30" w:rsidP="001E34D4">
      <w:pPr>
        <w:pStyle w:val="Response"/>
        <w:ind w:left="0" w:firstLine="0"/>
      </w:pPr>
      <w:r w:rsidRPr="006402D8">
        <w:t xml:space="preserve">Chan, T. C., Fan-Ngai Hung, I., Ka-Hay Luk, J., Chu, L. W., </w:t>
      </w:r>
      <w:r w:rsidR="00E70E76">
        <w:t>and</w:t>
      </w:r>
      <w:r w:rsidRPr="006402D8">
        <w:t xml:space="preserve"> Hon-Wai Chan, F. (2014). Effectiveness of influenza vaccination in institutionalized older adults: A systematic review. </w:t>
      </w:r>
      <w:r w:rsidRPr="006402D8">
        <w:rPr>
          <w:i/>
        </w:rPr>
        <w:t>Journal of the American Medical Directors Association</w:t>
      </w:r>
      <w:r w:rsidRPr="006402D8">
        <w:t xml:space="preserve">, </w:t>
      </w:r>
      <w:r w:rsidRPr="006402D8">
        <w:rPr>
          <w:i/>
        </w:rPr>
        <w:t>15</w:t>
      </w:r>
      <w:r w:rsidRPr="006402D8">
        <w:t>(3), 226.e1–226.e6. doi:10.1016/j.jamda.2013.10.008</w:t>
      </w:r>
    </w:p>
    <w:p w14:paraId="78988127" w14:textId="77777777" w:rsidR="00D94795" w:rsidRDefault="00095EC9" w:rsidP="00D94795">
      <w:pPr>
        <w:pStyle w:val="Question"/>
      </w:pPr>
      <w:r w:rsidRPr="003B1CC5">
        <w:rPr>
          <w:noProof/>
          <w:color w:val="0000FF"/>
        </w:rPr>
        <w:t xml:space="preserve">1a.7.3. </w:t>
      </w:r>
      <w:r w:rsidR="00EA79C9" w:rsidRPr="003B1CC5">
        <w:t xml:space="preserve">Provide all </w:t>
      </w:r>
      <w:r w:rsidR="00205857" w:rsidRPr="003B1CC5">
        <w:t xml:space="preserve">other </w:t>
      </w:r>
      <w:r w:rsidR="00EA79C9" w:rsidRPr="003B1CC5">
        <w:t xml:space="preserve">grades and associated definitions for strength of the evidence in the </w:t>
      </w:r>
      <w:r w:rsidR="00C54E40" w:rsidRPr="003B1CC5">
        <w:t>grading system.</w:t>
      </w:r>
    </w:p>
    <w:p w14:paraId="0D9FADBB" w14:textId="25AE6A4B" w:rsidR="003A202B" w:rsidRPr="00015304" w:rsidRDefault="000438AF" w:rsidP="003A202B">
      <w:pPr>
        <w:pStyle w:val="Response"/>
      </w:pPr>
      <w:r>
        <w:t>Not applicable.</w:t>
      </w:r>
    </w:p>
    <w:p w14:paraId="41D89C73" w14:textId="77777777" w:rsidR="00496AF8" w:rsidRPr="001E34D4" w:rsidRDefault="00496AF8" w:rsidP="00D94795">
      <w:pPr>
        <w:pStyle w:val="Question"/>
        <w:rPr>
          <w:b w:val="0"/>
        </w:rPr>
      </w:pPr>
      <w:bookmarkStart w:id="9" w:name="Section1a7"/>
      <w:bookmarkEnd w:id="9"/>
      <w:r w:rsidRPr="003B1CC5">
        <w:rPr>
          <w:noProof/>
          <w:color w:val="0000FF"/>
        </w:rPr>
        <w:t>1</w:t>
      </w:r>
      <w:r w:rsidR="00837121" w:rsidRPr="003B1CC5">
        <w:rPr>
          <w:noProof/>
          <w:color w:val="0000FF"/>
        </w:rPr>
        <w:t>a</w:t>
      </w:r>
      <w:r w:rsidRPr="003B1CC5">
        <w:rPr>
          <w:noProof/>
          <w:color w:val="0000FF"/>
        </w:rPr>
        <w:t>.</w:t>
      </w:r>
      <w:r w:rsidR="00EE5AF6" w:rsidRPr="003B1CC5">
        <w:rPr>
          <w:noProof/>
          <w:color w:val="0000FF"/>
        </w:rPr>
        <w:t>7.</w:t>
      </w:r>
      <w:r w:rsidR="00095EC9" w:rsidRPr="003B1CC5">
        <w:rPr>
          <w:noProof/>
          <w:color w:val="0000FF"/>
        </w:rPr>
        <w:t>4</w:t>
      </w:r>
      <w:r w:rsidR="00DA7FA2" w:rsidRPr="003B1CC5">
        <w:rPr>
          <w:noProof/>
          <w:color w:val="0000FF"/>
        </w:rPr>
        <w:t>.</w:t>
      </w:r>
      <w:r w:rsidRPr="003B1CC5">
        <w:rPr>
          <w:noProof/>
        </w:rPr>
        <w:t xml:space="preserve"> What is the time period covered by the body of evidence? (</w:t>
      </w:r>
      <w:r w:rsidRPr="003B1CC5">
        <w:rPr>
          <w:i/>
          <w:noProof/>
        </w:rPr>
        <w:t>provide the date range, e.g., 1990-2010</w:t>
      </w:r>
      <w:r w:rsidRPr="003B1CC5">
        <w:rPr>
          <w:noProof/>
        </w:rPr>
        <w:t xml:space="preserve">).  </w:t>
      </w:r>
      <w:r w:rsidRPr="003B1CC5">
        <w:t>Date range:</w:t>
      </w:r>
      <w:r w:rsidRPr="001E34D4">
        <w:rPr>
          <w:b w:val="0"/>
        </w:rPr>
        <w:t xml:space="preserve">  </w:t>
      </w:r>
      <w:sdt>
        <w:sdtPr>
          <w:rPr>
            <w:rStyle w:val="Style2"/>
            <w:b w:val="0"/>
          </w:rPr>
          <w:id w:val="-1666395719"/>
        </w:sdtPr>
        <w:sdtEndPr>
          <w:rPr>
            <w:rStyle w:val="DefaultParagraphFont"/>
            <w:color w:val="auto"/>
            <w:u w:val="none"/>
          </w:rPr>
        </w:sdtEndPr>
        <w:sdtContent>
          <w:sdt>
            <w:sdtPr>
              <w:rPr>
                <w:rFonts w:cs="AdvOTb92eb7df.I"/>
                <w:b w:val="0"/>
              </w:rPr>
              <w:id w:val="613022186"/>
            </w:sdtPr>
            <w:sdtEndPr/>
            <w:sdtContent>
              <w:r w:rsidR="001E34D4" w:rsidRPr="001E34D4">
                <w:rPr>
                  <w:rFonts w:cs="AdvOTb92eb7df.I"/>
                  <w:b w:val="0"/>
                </w:rPr>
                <w:t>1986-2013</w:t>
              </w:r>
            </w:sdtContent>
          </w:sdt>
        </w:sdtContent>
      </w:sdt>
    </w:p>
    <w:p w14:paraId="2DF6C67D" w14:textId="77777777" w:rsidR="00496AF8" w:rsidRPr="003B1CC5" w:rsidRDefault="00C5180E" w:rsidP="00164DC8">
      <w:pPr>
        <w:pStyle w:val="Heading2"/>
        <w:spacing w:before="240"/>
      </w:pPr>
      <w:r w:rsidRPr="003B1CC5">
        <w:rPr>
          <w:noProof/>
        </w:rPr>
        <w:t>QUANTITY AND QUALITY OF BODY OF EVIDENCE</w:t>
      </w:r>
    </w:p>
    <w:p w14:paraId="6F2973A9" w14:textId="77777777" w:rsidR="001E34D4" w:rsidRDefault="001B772D" w:rsidP="001E34D4">
      <w:pPr>
        <w:pStyle w:val="Question"/>
        <w:rPr>
          <w:b w:val="0"/>
          <w:noProof/>
        </w:rPr>
      </w:pPr>
      <w:r w:rsidRPr="003B1CC5">
        <w:rPr>
          <w:noProof/>
          <w:color w:val="0000FF"/>
        </w:rPr>
        <w:t>1</w:t>
      </w:r>
      <w:r w:rsidR="00837121" w:rsidRPr="003B1CC5">
        <w:rPr>
          <w:noProof/>
          <w:color w:val="0000FF"/>
        </w:rPr>
        <w:t>a</w:t>
      </w:r>
      <w:r w:rsidRPr="003B1CC5">
        <w:rPr>
          <w:noProof/>
          <w:color w:val="0000FF"/>
        </w:rPr>
        <w:t>.</w:t>
      </w:r>
      <w:r w:rsidR="00EE5AF6" w:rsidRPr="003B1CC5">
        <w:rPr>
          <w:noProof/>
          <w:color w:val="0000FF"/>
        </w:rPr>
        <w:t>7.</w:t>
      </w:r>
      <w:r w:rsidR="00095EC9" w:rsidRPr="003B1CC5">
        <w:rPr>
          <w:noProof/>
          <w:color w:val="0000FF"/>
        </w:rPr>
        <w:t>5</w:t>
      </w:r>
      <w:r w:rsidRPr="003B1CC5">
        <w:rPr>
          <w:noProof/>
          <w:color w:val="0000FF"/>
        </w:rPr>
        <w:t>.</w:t>
      </w:r>
      <w:r w:rsidR="001E34D4" w:rsidRPr="0051304C">
        <w:rPr>
          <w:i/>
          <w:noProof/>
        </w:rPr>
        <w:t xml:space="preserve"> </w:t>
      </w:r>
      <w:r w:rsidR="001E34D4" w:rsidRPr="0051304C">
        <w:rPr>
          <w:noProof/>
        </w:rPr>
        <w:t xml:space="preserve">How </w:t>
      </w:r>
      <w:r w:rsidR="00496AF8" w:rsidRPr="003B1CC5">
        <w:rPr>
          <w:noProof/>
        </w:rPr>
        <w:t>many and what type of study designs are in</w:t>
      </w:r>
      <w:r w:rsidR="006F760B" w:rsidRPr="003B1CC5">
        <w:rPr>
          <w:noProof/>
        </w:rPr>
        <w:t>c</w:t>
      </w:r>
      <w:r w:rsidR="00496AF8" w:rsidRPr="003B1CC5">
        <w:rPr>
          <w:noProof/>
        </w:rPr>
        <w:t xml:space="preserve">luded in the body of evidence? </w:t>
      </w:r>
      <w:r w:rsidR="00496AF8" w:rsidRPr="00164DC8">
        <w:rPr>
          <w:b w:val="0"/>
          <w:noProof/>
        </w:rPr>
        <w:t>(</w:t>
      </w:r>
      <w:r w:rsidR="00496AF8" w:rsidRPr="00164DC8">
        <w:rPr>
          <w:b w:val="0"/>
          <w:i/>
          <w:noProof/>
        </w:rPr>
        <w:t>e.g., 3 randomized controlled trials and 1 observational study</w:t>
      </w:r>
      <w:r w:rsidR="00496AF8" w:rsidRPr="00164DC8">
        <w:rPr>
          <w:b w:val="0"/>
          <w:noProof/>
        </w:rPr>
        <w:t>)</w:t>
      </w:r>
    </w:p>
    <w:p w14:paraId="24471AD3" w14:textId="2D50A02D" w:rsidR="001E34D4" w:rsidRDefault="00BC4B7A" w:rsidP="001E34D4">
      <w:pPr>
        <w:pStyle w:val="Response"/>
        <w:contextualSpacing/>
      </w:pPr>
      <w:r>
        <w:t>Four</w:t>
      </w:r>
      <w:r w:rsidR="001E34D4">
        <w:t xml:space="preserve"> </w:t>
      </w:r>
      <w:r>
        <w:t>p</w:t>
      </w:r>
      <w:r w:rsidR="001E34D4">
        <w:t>rospective cohort studies</w:t>
      </w:r>
    </w:p>
    <w:p w14:paraId="56DCD104" w14:textId="51589BD4" w:rsidR="001E34D4" w:rsidRDefault="00BC4B7A" w:rsidP="001E34D4">
      <w:pPr>
        <w:pStyle w:val="Response"/>
        <w:contextualSpacing/>
      </w:pPr>
      <w:r>
        <w:t>One</w:t>
      </w:r>
      <w:r w:rsidR="001E34D4">
        <w:t xml:space="preserve"> </w:t>
      </w:r>
      <w:r>
        <w:t>p</w:t>
      </w:r>
      <w:r w:rsidR="001E34D4">
        <w:t>rospective study of outbreak studies</w:t>
      </w:r>
    </w:p>
    <w:p w14:paraId="704B616A" w14:textId="08CC113E" w:rsidR="001E34D4" w:rsidRDefault="00BC4B7A" w:rsidP="001E34D4">
      <w:pPr>
        <w:pStyle w:val="Response"/>
        <w:contextualSpacing/>
      </w:pPr>
      <w:r>
        <w:t>Five</w:t>
      </w:r>
      <w:r w:rsidR="001E34D4">
        <w:t xml:space="preserve"> </w:t>
      </w:r>
      <w:r>
        <w:t>r</w:t>
      </w:r>
      <w:r w:rsidR="001E34D4">
        <w:t>etrospective case-control for outbreak studies</w:t>
      </w:r>
    </w:p>
    <w:p w14:paraId="16E50CFB" w14:textId="02CF1DDC" w:rsidR="003A202B" w:rsidRPr="00015304" w:rsidRDefault="00BC4B7A" w:rsidP="001E34D4">
      <w:pPr>
        <w:pStyle w:val="Response"/>
        <w:contextualSpacing/>
      </w:pPr>
      <w:r>
        <w:t>One</w:t>
      </w:r>
      <w:r w:rsidR="001E34D4">
        <w:t xml:space="preserve"> </w:t>
      </w:r>
      <w:r>
        <w:t>r</w:t>
      </w:r>
      <w:r w:rsidR="001E34D4">
        <w:t>etrospective case-control stud</w:t>
      </w:r>
      <w:r>
        <w:t>y</w:t>
      </w:r>
    </w:p>
    <w:p w14:paraId="6C2FBB31" w14:textId="77777777" w:rsidR="00D94795" w:rsidRPr="00164DC8" w:rsidRDefault="001B772D" w:rsidP="00D94795">
      <w:pPr>
        <w:pStyle w:val="Question"/>
        <w:rPr>
          <w:b w:val="0"/>
        </w:rPr>
      </w:pPr>
      <w:r w:rsidRPr="003B1CC5">
        <w:rPr>
          <w:color w:val="0000FF"/>
        </w:rPr>
        <w:t>1</w:t>
      </w:r>
      <w:r w:rsidR="00837121" w:rsidRPr="003B1CC5">
        <w:rPr>
          <w:color w:val="0000FF"/>
        </w:rPr>
        <w:t>a</w:t>
      </w:r>
      <w:r w:rsidRPr="003B1CC5">
        <w:rPr>
          <w:color w:val="0000FF"/>
        </w:rPr>
        <w:t>.</w:t>
      </w:r>
      <w:r w:rsidR="00EE5AF6" w:rsidRPr="003B1CC5">
        <w:rPr>
          <w:color w:val="0000FF"/>
        </w:rPr>
        <w:t>7.</w:t>
      </w:r>
      <w:r w:rsidR="00095EC9" w:rsidRPr="003B1CC5">
        <w:rPr>
          <w:color w:val="0000FF"/>
        </w:rPr>
        <w:t>6</w:t>
      </w:r>
      <w:r w:rsidRPr="003B1CC5">
        <w:rPr>
          <w:color w:val="0000FF"/>
        </w:rPr>
        <w:t>.</w:t>
      </w:r>
      <w:r w:rsidR="001E34D4" w:rsidRPr="0051304C">
        <w:t xml:space="preserve"> What </w:t>
      </w:r>
      <w:r w:rsidR="00496AF8" w:rsidRPr="003B1CC5">
        <w:t xml:space="preserve">is the overall quality of evidence </w:t>
      </w:r>
      <w:r w:rsidR="00496AF8" w:rsidRPr="003B1CC5">
        <w:rPr>
          <w:u w:val="single"/>
        </w:rPr>
        <w:t>across studies</w:t>
      </w:r>
      <w:r w:rsidR="00496AF8" w:rsidRPr="003B1CC5">
        <w:t xml:space="preserve"> in the body of evidence? </w:t>
      </w:r>
      <w:r w:rsidR="00496AF8" w:rsidRPr="00164DC8">
        <w:rPr>
          <w:b w:val="0"/>
        </w:rPr>
        <w:t>(</w:t>
      </w:r>
      <w:r w:rsidR="006709EB" w:rsidRPr="00164DC8">
        <w:rPr>
          <w:b w:val="0"/>
          <w:i/>
        </w:rPr>
        <w:t xml:space="preserve">discuss the </w:t>
      </w:r>
      <w:r w:rsidR="00496AF8" w:rsidRPr="00164DC8">
        <w:rPr>
          <w:b w:val="0"/>
          <w:i/>
        </w:rPr>
        <w:t xml:space="preserve">certainty or confidence in the estimates of effect </w:t>
      </w:r>
      <w:r w:rsidR="0039609A" w:rsidRPr="00164DC8">
        <w:rPr>
          <w:b w:val="0"/>
          <w:i/>
        </w:rPr>
        <w:t xml:space="preserve">particularly in relation </w:t>
      </w:r>
      <w:r w:rsidR="00496AF8" w:rsidRPr="00164DC8">
        <w:rPr>
          <w:b w:val="0"/>
          <w:i/>
        </w:rPr>
        <w:t>to study factor</w:t>
      </w:r>
      <w:r w:rsidR="000160E6" w:rsidRPr="00164DC8">
        <w:rPr>
          <w:b w:val="0"/>
          <w:i/>
        </w:rPr>
        <w:t xml:space="preserve">s such as design flaws, </w:t>
      </w:r>
      <w:r w:rsidR="00E57BE2" w:rsidRPr="00164DC8">
        <w:rPr>
          <w:b w:val="0"/>
          <w:i/>
        </w:rPr>
        <w:t xml:space="preserve">imprecision due to </w:t>
      </w:r>
      <w:r w:rsidR="000160E6" w:rsidRPr="00164DC8">
        <w:rPr>
          <w:b w:val="0"/>
          <w:i/>
        </w:rPr>
        <w:t xml:space="preserve">small numbers, indirectness </w:t>
      </w:r>
      <w:r w:rsidR="00E57BE2" w:rsidRPr="00164DC8">
        <w:rPr>
          <w:b w:val="0"/>
          <w:i/>
        </w:rPr>
        <w:t xml:space="preserve">of studies </w:t>
      </w:r>
      <w:r w:rsidR="000160E6" w:rsidRPr="00164DC8">
        <w:rPr>
          <w:b w:val="0"/>
          <w:i/>
        </w:rPr>
        <w:t>to the measure focus or target population</w:t>
      </w:r>
      <w:r w:rsidR="00496AF8" w:rsidRPr="00164DC8">
        <w:rPr>
          <w:b w:val="0"/>
        </w:rPr>
        <w:t>)</w:t>
      </w:r>
    </w:p>
    <w:p w14:paraId="7E2D47F9" w14:textId="5A807E13" w:rsidR="001E34D4" w:rsidRDefault="001E34D4" w:rsidP="001E34D4">
      <w:pPr>
        <w:pStyle w:val="Response"/>
        <w:ind w:left="0" w:firstLine="0"/>
      </w:pPr>
      <w:r>
        <w:t xml:space="preserve">The quality of evidence appears to be quite strong. On a Quality Assessment Scale, 9 out of 11 studies received a grade of </w:t>
      </w:r>
      <w:r w:rsidR="00BC4B7A">
        <w:t>four</w:t>
      </w:r>
      <w:r>
        <w:t xml:space="preserve"> stars (maximum) and the remaining 2 studies received </w:t>
      </w:r>
      <w:r w:rsidR="00BC4B7A">
        <w:t>three</w:t>
      </w:r>
      <w:r>
        <w:t xml:space="preserve"> stars for Selection. All 11 studies received </w:t>
      </w:r>
      <w:r w:rsidR="00BC4B7A">
        <w:t>two</w:t>
      </w:r>
      <w:r>
        <w:t xml:space="preserve"> stars (maximum) for </w:t>
      </w:r>
      <w:r w:rsidR="00BC4B7A">
        <w:t>c</w:t>
      </w:r>
      <w:r>
        <w:t xml:space="preserve">omparability, and they all received </w:t>
      </w:r>
      <w:r w:rsidR="00BC4B7A">
        <w:t>three</w:t>
      </w:r>
      <w:r>
        <w:t xml:space="preserve"> stars (maximum) for </w:t>
      </w:r>
      <w:r w:rsidR="00BC4B7A">
        <w:t>o</w:t>
      </w:r>
      <w:r>
        <w:t>utcome.</w:t>
      </w:r>
    </w:p>
    <w:p w14:paraId="2A2F215B" w14:textId="6B60C3CD" w:rsidR="003A202B" w:rsidRDefault="001E34D4" w:rsidP="001E34D4">
      <w:pPr>
        <w:pStyle w:val="Response"/>
        <w:ind w:left="0" w:firstLine="0"/>
      </w:pPr>
      <w:r>
        <w:t xml:space="preserve">This meta-analysis and review suggested that influenza vaccination could reduce pneumonia and death due to influenza or pneumonia. There was also a trend to reduce ILI. In all </w:t>
      </w:r>
      <w:r w:rsidR="00BC4B7A">
        <w:t>three</w:t>
      </w:r>
      <w:r>
        <w:t xml:space="preserve"> clinical outcomes, the protection was most significant during an outbreak and vaccine strain matched the circulating influenza strains. The findings concurred with the findings from a</w:t>
      </w:r>
      <w:r w:rsidR="00071E68">
        <w:t>n earlier</w:t>
      </w:r>
      <w:r>
        <w:t xml:space="preserve"> systematic review by </w:t>
      </w:r>
      <w:r w:rsidRPr="00C5731D">
        <w:t xml:space="preserve">Jefferson </w:t>
      </w:r>
      <w:r w:rsidR="00FD6C7C" w:rsidRPr="00C5731D">
        <w:t xml:space="preserve">et al. </w:t>
      </w:r>
      <w:r w:rsidRPr="00C5731D">
        <w:t>(2005)</w:t>
      </w:r>
      <w:r w:rsidR="00BC4B7A" w:rsidRPr="00C5731D">
        <w:t>,</w:t>
      </w:r>
      <w:r>
        <w:t xml:space="preserve"> which suggested that, with good vaccine match and high viral circulation, influenza vaccination could reduce pneumonia, hospitalization from influenza or pneumonia, death from influenza or pneumonia, and all-cause mortality. The major differences between  review</w:t>
      </w:r>
      <w:r w:rsidR="00071E68">
        <w:t xml:space="preserve"> by Chan et al. (2014)</w:t>
      </w:r>
      <w:r>
        <w:t xml:space="preserve"> and the review by </w:t>
      </w:r>
      <w:r w:rsidRPr="001679F7">
        <w:t>Jefferson et al</w:t>
      </w:r>
      <w:r w:rsidR="006402D8" w:rsidRPr="001679F7">
        <w:t>.</w:t>
      </w:r>
      <w:r w:rsidRPr="001679F7">
        <w:t xml:space="preserve"> (2005)</w:t>
      </w:r>
      <w:r>
        <w:t xml:space="preserve"> were the different selection criteria for studies in the meta-analysis</w:t>
      </w:r>
      <w:r w:rsidR="00AD7DF3">
        <w:t>;</w:t>
      </w:r>
      <w:r>
        <w:t xml:space="preserve"> exclusion of nonspecific outcome, such as all-cause mortality</w:t>
      </w:r>
      <w:r w:rsidR="00AD7DF3">
        <w:t>;</w:t>
      </w:r>
      <w:r>
        <w:t xml:space="preserve"> and inclusion of more</w:t>
      </w:r>
      <w:r w:rsidR="00071E68">
        <w:t>-</w:t>
      </w:r>
      <w:r>
        <w:t xml:space="preserve">recent studies. </w:t>
      </w:r>
      <w:r w:rsidR="00071E68">
        <w:t>Chan et al. (2014)</w:t>
      </w:r>
      <w:r>
        <w:t xml:space="preserve"> ensured all subjects in those involved studies were age 60 or older. They further ensured that those studies had taken further steps to compare other characteristics (apart from age), including comorbidity and functional status between vaccine group and control group. They included only studies that had made comparison of comorbidity and/or functional status between the vaccinated group and control group by detailed review of methodology of each study to minimize the effect of difference in other baseline characteristics on </w:t>
      </w:r>
      <w:r w:rsidR="006A5124">
        <w:t>VE</w:t>
      </w:r>
      <w:r>
        <w:t>. Moreover, they did not include all-cause mortality as an outcome because it was frequently criticized to be nonspecific and could contribute to overestimation of vaccine efficacy.</w:t>
      </w:r>
    </w:p>
    <w:p w14:paraId="015220D3" w14:textId="52E336A2" w:rsidR="00071E68" w:rsidRDefault="00071E68" w:rsidP="00071E68">
      <w:pPr>
        <w:pStyle w:val="Response"/>
        <w:spacing w:before="120" w:after="120"/>
      </w:pPr>
      <w:r>
        <w:t>REFERENCE</w:t>
      </w:r>
      <w:r w:rsidR="00F423BA">
        <w:t>S</w:t>
      </w:r>
    </w:p>
    <w:p w14:paraId="46C1FB0B" w14:textId="5BB8BB62" w:rsidR="00071E68" w:rsidRDefault="00071E68" w:rsidP="00071E68">
      <w:pPr>
        <w:pStyle w:val="Response"/>
        <w:ind w:left="0" w:firstLine="0"/>
      </w:pPr>
      <w:r w:rsidRPr="006402D8">
        <w:t xml:space="preserve">Chan, T. C., Fan-Ngai Hung, I., Ka-Hay Luk, J., Chu, L. W., </w:t>
      </w:r>
      <w:r w:rsidR="00E70E76">
        <w:t>and</w:t>
      </w:r>
      <w:r w:rsidRPr="006402D8">
        <w:t xml:space="preserve"> Hon-Wai Chan, F. (2014). Effectiveness of influenza vaccination in institutionalized older adults: A systematic review. </w:t>
      </w:r>
      <w:r w:rsidRPr="006402D8">
        <w:rPr>
          <w:i/>
        </w:rPr>
        <w:t>Journal of the American Medical Directors Association</w:t>
      </w:r>
      <w:r w:rsidRPr="006402D8">
        <w:t xml:space="preserve">, </w:t>
      </w:r>
      <w:r w:rsidRPr="006402D8">
        <w:rPr>
          <w:i/>
        </w:rPr>
        <w:t>15</w:t>
      </w:r>
      <w:r w:rsidRPr="006402D8">
        <w:t>(3), 226.e1–226.e6. doi:10.1016/j.jamda.2013.10.008</w:t>
      </w:r>
    </w:p>
    <w:p w14:paraId="2D3F7EA9" w14:textId="4798077F" w:rsidR="00071E68" w:rsidRPr="00071E68" w:rsidRDefault="00071E68" w:rsidP="00071E68">
      <w:pPr>
        <w:pStyle w:val="Response"/>
        <w:ind w:left="0" w:firstLine="0"/>
      </w:pPr>
      <w:r w:rsidRPr="00071E68">
        <w:t xml:space="preserve">Jefferson T, Rivetti D, Rivetti A, </w:t>
      </w:r>
      <w:r w:rsidR="00E70E76">
        <w:t>Rudin, M., DiPietrantonj, C. and Demicheli, V.</w:t>
      </w:r>
      <w:r w:rsidRPr="00071E68">
        <w:t xml:space="preserve"> </w:t>
      </w:r>
      <w:r w:rsidR="00564230">
        <w:t xml:space="preserve">(2005). </w:t>
      </w:r>
      <w:r w:rsidRPr="00071E68">
        <w:t xml:space="preserve">Efficacy and effectiveness of influenza vaccines in elderly people: a systematic review. </w:t>
      </w:r>
      <w:r w:rsidRPr="00071E68">
        <w:rPr>
          <w:i/>
        </w:rPr>
        <w:t xml:space="preserve">Lancet </w:t>
      </w:r>
      <w:r w:rsidRPr="00071E68">
        <w:t>2005;366:1165e1174.</w:t>
      </w:r>
    </w:p>
    <w:p w14:paraId="6D1F6A4F" w14:textId="77777777" w:rsidR="00496AF8" w:rsidRPr="003B1CC5" w:rsidRDefault="00C5180E" w:rsidP="00164DC8">
      <w:pPr>
        <w:pStyle w:val="Heading2"/>
        <w:spacing w:before="240"/>
      </w:pPr>
      <w:r w:rsidRPr="003B1CC5">
        <w:t>ESTIMATES OF BENEFIT AND CONSISTENCY ACROSS STUDIES IN BODY OF EVIDENCE</w:t>
      </w:r>
    </w:p>
    <w:p w14:paraId="693E5920" w14:textId="77777777" w:rsidR="00D94795" w:rsidRDefault="001B772D" w:rsidP="00D94795">
      <w:pPr>
        <w:pStyle w:val="Question"/>
      </w:pPr>
      <w:r w:rsidRPr="003B1CC5">
        <w:rPr>
          <w:color w:val="0000FF"/>
        </w:rPr>
        <w:t>1</w:t>
      </w:r>
      <w:r w:rsidR="00837121" w:rsidRPr="003B1CC5">
        <w:rPr>
          <w:color w:val="0000FF"/>
        </w:rPr>
        <w:t>a</w:t>
      </w:r>
      <w:r w:rsidRPr="003B1CC5">
        <w:rPr>
          <w:color w:val="0000FF"/>
        </w:rPr>
        <w:t>.</w:t>
      </w:r>
      <w:r w:rsidR="00EE5AF6" w:rsidRPr="003B1CC5">
        <w:rPr>
          <w:color w:val="0000FF"/>
        </w:rPr>
        <w:t>7.</w:t>
      </w:r>
      <w:r w:rsidR="00095EC9" w:rsidRPr="003B1CC5">
        <w:rPr>
          <w:color w:val="0000FF"/>
        </w:rPr>
        <w:t>7</w:t>
      </w:r>
      <w:r w:rsidRPr="003B1CC5">
        <w:rPr>
          <w:color w:val="0000FF"/>
        </w:rPr>
        <w:t>.</w:t>
      </w:r>
      <w:r w:rsidR="001E34D4" w:rsidRPr="0051304C">
        <w:t xml:space="preserve"> What </w:t>
      </w:r>
      <w:r w:rsidR="00496AF8" w:rsidRPr="003B1CC5">
        <w:t xml:space="preserve">are </w:t>
      </w:r>
      <w:r w:rsidR="007D5DC6" w:rsidRPr="003B1CC5">
        <w:t>the estimates</w:t>
      </w:r>
      <w:r w:rsidR="00496AF8" w:rsidRPr="003B1CC5">
        <w:t xml:space="preserve"> of benefit—magnitude and direction of effect on outcome</w:t>
      </w:r>
      <w:r w:rsidR="00734949" w:rsidRPr="003B1CC5">
        <w:t>(s)</w:t>
      </w:r>
      <w:r w:rsidR="00496AF8" w:rsidRPr="003B1CC5">
        <w:t xml:space="preserve"> </w:t>
      </w:r>
      <w:r w:rsidR="00496AF8" w:rsidRPr="003B1CC5">
        <w:rPr>
          <w:u w:val="single"/>
        </w:rPr>
        <w:t>across studies</w:t>
      </w:r>
      <w:r w:rsidR="00496AF8" w:rsidRPr="003B1CC5">
        <w:t xml:space="preserve"> in the body of evidence?</w:t>
      </w:r>
      <w:r w:rsidR="002A6777" w:rsidRPr="003B1CC5">
        <w:t xml:space="preserve"> </w:t>
      </w:r>
      <w:r w:rsidR="002A6777" w:rsidRPr="001E34D4">
        <w:rPr>
          <w:b w:val="0"/>
        </w:rPr>
        <w:t>(</w:t>
      </w:r>
      <w:r w:rsidR="002A6777" w:rsidRPr="001E34D4">
        <w:rPr>
          <w:b w:val="0"/>
          <w:i/>
        </w:rPr>
        <w:t xml:space="preserve">e.g., </w:t>
      </w:r>
      <w:r w:rsidR="000160E6" w:rsidRPr="001E34D4">
        <w:rPr>
          <w:b w:val="0"/>
          <w:i/>
        </w:rPr>
        <w:t xml:space="preserve">ranges of percentages or odds ratios for </w:t>
      </w:r>
      <w:r w:rsidR="0068184A" w:rsidRPr="001E34D4">
        <w:rPr>
          <w:b w:val="0"/>
          <w:i/>
        </w:rPr>
        <w:t xml:space="preserve">improvement/ </w:t>
      </w:r>
      <w:r w:rsidR="007D5DC6" w:rsidRPr="001E34D4">
        <w:rPr>
          <w:b w:val="0"/>
          <w:i/>
        </w:rPr>
        <w:t>decline across</w:t>
      </w:r>
      <w:r w:rsidR="005B0D18" w:rsidRPr="001E34D4">
        <w:rPr>
          <w:b w:val="0"/>
          <w:i/>
        </w:rPr>
        <w:t xml:space="preserve"> studies, </w:t>
      </w:r>
      <w:r w:rsidR="0068184A" w:rsidRPr="001E34D4">
        <w:rPr>
          <w:b w:val="0"/>
          <w:i/>
        </w:rPr>
        <w:t>results of meta-analysis, and statistical significance</w:t>
      </w:r>
      <w:r w:rsidR="005B0D18" w:rsidRPr="001E34D4">
        <w:rPr>
          <w:b w:val="0"/>
        </w:rPr>
        <w:t>)</w:t>
      </w:r>
    </w:p>
    <w:p w14:paraId="71B3CB20" w14:textId="77777777" w:rsidR="00F423BA" w:rsidRDefault="00F423BA" w:rsidP="00A81DA6">
      <w:pPr>
        <w:autoSpaceDE w:val="0"/>
        <w:autoSpaceDN w:val="0"/>
        <w:adjustRightInd w:val="0"/>
        <w:ind w:left="0" w:firstLine="0"/>
        <w:rPr>
          <w:rFonts w:cs="AdvOT863180fb"/>
          <w:color w:val="0000FF"/>
        </w:rPr>
      </w:pPr>
    </w:p>
    <w:p w14:paraId="6FE3C916" w14:textId="1BD316F5" w:rsidR="00A81DA6" w:rsidRPr="00A81DA6" w:rsidRDefault="00A81DA6" w:rsidP="00A81DA6">
      <w:pPr>
        <w:autoSpaceDE w:val="0"/>
        <w:autoSpaceDN w:val="0"/>
        <w:adjustRightInd w:val="0"/>
        <w:ind w:left="0" w:firstLine="0"/>
        <w:rPr>
          <w:rFonts w:cs="AdvOT863180fb"/>
          <w:color w:val="0000FF"/>
        </w:rPr>
      </w:pPr>
      <w:r>
        <w:rPr>
          <w:rFonts w:cs="AdvOT863180fb"/>
          <w:color w:val="0000FF"/>
        </w:rPr>
        <w:t>After meta-analysis, Chan et al (2014)</w:t>
      </w:r>
      <w:r w:rsidRPr="00A81DA6">
        <w:rPr>
          <w:rFonts w:cs="AdvOT863180fb"/>
          <w:color w:val="0000FF"/>
        </w:rPr>
        <w:t xml:space="preserve"> found a significant reduction in pneumonia (</w:t>
      </w:r>
      <w:r w:rsidRPr="00A81DA6">
        <w:rPr>
          <w:rFonts w:cstheme="minorHAnsi"/>
          <w:color w:val="0000FF"/>
        </w:rPr>
        <w:t>Vaccine Effectiveness (VE)</w:t>
      </w:r>
      <w:r w:rsidRPr="00A81DA6">
        <w:rPr>
          <w:rFonts w:cs="AdvOT863180fb"/>
          <w:color w:val="0000FF"/>
        </w:rPr>
        <w:t>: 37%, 95% confidence interval [CI]: 18%-53%, P = .001). In subgroup analysis, the reduction was also significant if there was an outbreak with vaccine matched (VE: 42%, CI: 18%-59%, P = .002) (subgroup A) and there was no outbreak and vaccine unmatched or matching status unknown (VE: 44%, CI: 2%-58%, P = .042) (subgroup D). There was no significant heterogeneity between studies (</w:t>
      </w:r>
      <w:r w:rsidRPr="00A81DA6">
        <w:rPr>
          <w:rFonts w:cs="AdvOT863180fb"/>
          <w:i/>
          <w:color w:val="0000FF"/>
        </w:rPr>
        <w:t>X</w:t>
      </w:r>
      <w:r w:rsidRPr="00A81DA6">
        <w:rPr>
          <w:rFonts w:cs="AdvOT863180fb"/>
          <w:color w:val="0000FF"/>
          <w:vertAlign w:val="superscript"/>
        </w:rPr>
        <w:t>2</w:t>
      </w:r>
      <w:r w:rsidRPr="00A81DA6">
        <w:rPr>
          <w:rFonts w:cs="AdvOT863180fb"/>
          <w:color w:val="0000FF"/>
        </w:rPr>
        <w:t>: 3.55, I</w:t>
      </w:r>
      <w:r w:rsidRPr="00A81DA6">
        <w:rPr>
          <w:rFonts w:cs="AdvOT863180fb"/>
          <w:color w:val="0000FF"/>
          <w:vertAlign w:val="superscript"/>
        </w:rPr>
        <w:t>2</w:t>
      </w:r>
      <w:r w:rsidRPr="00A81DA6">
        <w:rPr>
          <w:rFonts w:cs="AdvOT863180fb"/>
          <w:color w:val="0000FF"/>
        </w:rPr>
        <w:t xml:space="preserve">: 0%; P = .895). There was no significant publication bias in </w:t>
      </w:r>
      <w:r>
        <w:rPr>
          <w:rFonts w:cs="AdvOT863180fb"/>
          <w:color w:val="0000FF"/>
        </w:rPr>
        <w:t xml:space="preserve">the </w:t>
      </w:r>
      <w:r w:rsidRPr="00A81DA6">
        <w:rPr>
          <w:rFonts w:cs="AdvOT863180fb"/>
          <w:color w:val="0000FF"/>
        </w:rPr>
        <w:t>funnel plot.</w:t>
      </w:r>
    </w:p>
    <w:p w14:paraId="10A63686" w14:textId="77777777" w:rsidR="00A81DA6" w:rsidRPr="00A81DA6" w:rsidRDefault="00A81DA6" w:rsidP="00A81DA6">
      <w:pPr>
        <w:autoSpaceDE w:val="0"/>
        <w:autoSpaceDN w:val="0"/>
        <w:adjustRightInd w:val="0"/>
        <w:ind w:left="0" w:firstLine="0"/>
        <w:rPr>
          <w:rFonts w:cs="AdvOT863180fb"/>
          <w:color w:val="0000FF"/>
        </w:rPr>
      </w:pPr>
    </w:p>
    <w:p w14:paraId="53866AF3" w14:textId="72E35A36" w:rsidR="00A81DA6" w:rsidRPr="00A81DA6" w:rsidRDefault="00A81DA6" w:rsidP="00A81DA6">
      <w:pPr>
        <w:autoSpaceDE w:val="0"/>
        <w:autoSpaceDN w:val="0"/>
        <w:adjustRightInd w:val="0"/>
        <w:ind w:left="0" w:firstLine="0"/>
        <w:rPr>
          <w:rFonts w:cs="AdvOT863180fb"/>
          <w:color w:val="0000FF"/>
        </w:rPr>
      </w:pPr>
      <w:r w:rsidRPr="00A81DA6">
        <w:rPr>
          <w:rFonts w:cs="AdvOT863180fb"/>
          <w:color w:val="0000FF"/>
        </w:rPr>
        <w:t>They also found a signi</w:t>
      </w:r>
      <w:r>
        <w:rPr>
          <w:rFonts w:cs="AdvOT863180fb"/>
          <w:color w:val="0000FF"/>
        </w:rPr>
        <w:t>ficant reduction in death resulting from</w:t>
      </w:r>
      <w:r w:rsidRPr="00A81DA6">
        <w:rPr>
          <w:rFonts w:cs="AdvOT863180fb"/>
          <w:color w:val="0000FF"/>
        </w:rPr>
        <w:t xml:space="preserve"> pneumonia or influenza (VE: 34%, CI: 10%-53%, P =.01).There was no significant heterogeneity between studies (X</w:t>
      </w:r>
      <w:r w:rsidRPr="00A81DA6">
        <w:rPr>
          <w:rFonts w:cs="AdvOT863180fb"/>
          <w:color w:val="0000FF"/>
          <w:vertAlign w:val="superscript"/>
        </w:rPr>
        <w:t>2</w:t>
      </w:r>
      <w:r w:rsidRPr="00A81DA6">
        <w:rPr>
          <w:rFonts w:cs="AdvOT863180fb"/>
          <w:color w:val="0000FF"/>
        </w:rPr>
        <w:t>: 6.00, I</w:t>
      </w:r>
      <w:r w:rsidRPr="00A81DA6">
        <w:rPr>
          <w:rFonts w:cs="AdvOT863180fb"/>
          <w:color w:val="0000FF"/>
          <w:vertAlign w:val="superscript"/>
        </w:rPr>
        <w:t>2</w:t>
      </w:r>
      <w:r w:rsidRPr="00A81DA6">
        <w:rPr>
          <w:rFonts w:cs="AdvOT863180fb"/>
          <w:color w:val="0000FF"/>
        </w:rPr>
        <w:t xml:space="preserve">: 0%; P = .647). There was no significant publication bias in </w:t>
      </w:r>
      <w:r>
        <w:rPr>
          <w:rFonts w:cs="AdvOT863180fb"/>
          <w:color w:val="0000FF"/>
        </w:rPr>
        <w:t xml:space="preserve">the </w:t>
      </w:r>
      <w:r w:rsidRPr="00A81DA6">
        <w:rPr>
          <w:rFonts w:cs="AdvOT863180fb"/>
          <w:color w:val="0000FF"/>
        </w:rPr>
        <w:t>funnel plot.</w:t>
      </w:r>
    </w:p>
    <w:p w14:paraId="66C1D5ED" w14:textId="77777777" w:rsidR="00A81DA6" w:rsidRPr="00A81DA6" w:rsidRDefault="00A81DA6" w:rsidP="00A81DA6">
      <w:pPr>
        <w:autoSpaceDE w:val="0"/>
        <w:autoSpaceDN w:val="0"/>
        <w:adjustRightInd w:val="0"/>
        <w:ind w:left="0" w:firstLine="0"/>
        <w:rPr>
          <w:rFonts w:cs="AdvOT863180fb"/>
          <w:color w:val="0000FF"/>
        </w:rPr>
      </w:pPr>
    </w:p>
    <w:p w14:paraId="3538C349" w14:textId="4198A533" w:rsidR="00A81DA6" w:rsidRPr="00A81DA6" w:rsidRDefault="00A81DA6" w:rsidP="00A81DA6">
      <w:pPr>
        <w:autoSpaceDE w:val="0"/>
        <w:autoSpaceDN w:val="0"/>
        <w:adjustRightInd w:val="0"/>
        <w:ind w:left="0" w:firstLine="0"/>
        <w:rPr>
          <w:rFonts w:cs="AdvOT863180fb"/>
          <w:color w:val="0000FF"/>
        </w:rPr>
      </w:pPr>
      <w:r>
        <w:rPr>
          <w:rFonts w:cs="AdvOT863180fb"/>
          <w:color w:val="0000FF"/>
        </w:rPr>
        <w:t>In addition,</w:t>
      </w:r>
      <w:r w:rsidRPr="00A81DA6">
        <w:rPr>
          <w:rFonts w:cs="AdvOT863180fb"/>
          <w:color w:val="0000FF"/>
        </w:rPr>
        <w:t xml:space="preserve"> they found a trend of reduction in ILI (</w:t>
      </w:r>
      <w:r>
        <w:rPr>
          <w:rFonts w:cs="AdvOT863180fb"/>
          <w:color w:val="0000FF"/>
        </w:rPr>
        <w:t>odds ratio [</w:t>
      </w:r>
      <w:r w:rsidRPr="00A81DA6">
        <w:rPr>
          <w:rFonts w:cs="AdvOT863180fb"/>
          <w:color w:val="0000FF"/>
        </w:rPr>
        <w:t>OR</w:t>
      </w:r>
      <w:r>
        <w:rPr>
          <w:rFonts w:cs="AdvOT863180fb"/>
          <w:color w:val="0000FF"/>
        </w:rPr>
        <w:t>]</w:t>
      </w:r>
      <w:r w:rsidRPr="00A81DA6">
        <w:rPr>
          <w:rFonts w:cs="AdvOT863180fb"/>
          <w:color w:val="0000FF"/>
        </w:rPr>
        <w:t>: 0.79, CI: 0.61-1.03; P = .086); however, there was significant heterogeneity between studies (</w:t>
      </w:r>
      <w:r w:rsidRPr="00A81DA6">
        <w:rPr>
          <w:rFonts w:cs="AdvOT863180fb"/>
          <w:i/>
          <w:color w:val="0000FF"/>
        </w:rPr>
        <w:t>X</w:t>
      </w:r>
      <w:r w:rsidRPr="00A81DA6">
        <w:rPr>
          <w:rFonts w:cs="AdvOT863180fb"/>
          <w:color w:val="0000FF"/>
          <w:vertAlign w:val="superscript"/>
        </w:rPr>
        <w:t>2</w:t>
      </w:r>
      <w:r w:rsidRPr="00A81DA6">
        <w:rPr>
          <w:rFonts w:cs="AdvOT863180fb"/>
          <w:color w:val="0000FF"/>
        </w:rPr>
        <w:t>: 17.95, I</w:t>
      </w:r>
      <w:r w:rsidRPr="00A81DA6">
        <w:rPr>
          <w:rFonts w:cs="AdvOT863180fb"/>
          <w:color w:val="0000FF"/>
          <w:vertAlign w:val="superscript"/>
        </w:rPr>
        <w:t>2</w:t>
      </w:r>
      <w:r w:rsidRPr="00A81DA6">
        <w:rPr>
          <w:rFonts w:cs="AdvOT863180fb"/>
          <w:color w:val="0000FF"/>
        </w:rPr>
        <w:t>: 49.99%; P &lt; .036). There was no significant publication bias in</w:t>
      </w:r>
      <w:r>
        <w:rPr>
          <w:rFonts w:cs="AdvOT863180fb"/>
          <w:color w:val="0000FF"/>
        </w:rPr>
        <w:t xml:space="preserve"> the</w:t>
      </w:r>
      <w:r w:rsidRPr="00A81DA6">
        <w:rPr>
          <w:rFonts w:cs="AdvOT863180fb"/>
          <w:color w:val="0000FF"/>
        </w:rPr>
        <w:t xml:space="preserve"> funnel plot.</w:t>
      </w:r>
    </w:p>
    <w:p w14:paraId="568FA8D2" w14:textId="4C634956" w:rsidR="00071E68" w:rsidRDefault="00071E68" w:rsidP="00071E68">
      <w:pPr>
        <w:pStyle w:val="Response"/>
        <w:ind w:left="0" w:firstLine="0"/>
      </w:pPr>
      <w:r w:rsidRPr="006402D8">
        <w:t xml:space="preserve">Chan, T. C., Fan-Ngai Hung, I., Ka-Hay Luk, J., Chu, L. W., </w:t>
      </w:r>
      <w:r w:rsidR="00BB2384">
        <w:t>and</w:t>
      </w:r>
      <w:r w:rsidRPr="006402D8">
        <w:t xml:space="preserve"> Hon-Wai Chan, F. (2014). Effectiveness of influenza vaccination in institutionalized older adults: A systematic review. </w:t>
      </w:r>
      <w:r w:rsidRPr="006402D8">
        <w:rPr>
          <w:i/>
        </w:rPr>
        <w:t>Journal of the American Medical Directors Association</w:t>
      </w:r>
      <w:r w:rsidRPr="006402D8">
        <w:t xml:space="preserve">, </w:t>
      </w:r>
      <w:r w:rsidRPr="006402D8">
        <w:rPr>
          <w:i/>
        </w:rPr>
        <w:t>15</w:t>
      </w:r>
      <w:r w:rsidRPr="006402D8">
        <w:t>(3), 226.e1–226.e6. doi:10.1016/j.jamda.2013.10.008</w:t>
      </w:r>
    </w:p>
    <w:p w14:paraId="74DAFACC" w14:textId="77777777" w:rsidR="00D94795" w:rsidRDefault="001B772D" w:rsidP="00D94795">
      <w:pPr>
        <w:pStyle w:val="Question"/>
      </w:pPr>
      <w:r w:rsidRPr="003B1CC5">
        <w:rPr>
          <w:color w:val="0000FF"/>
        </w:rPr>
        <w:t>1</w:t>
      </w:r>
      <w:r w:rsidR="00837121" w:rsidRPr="003B1CC5">
        <w:rPr>
          <w:color w:val="0000FF"/>
        </w:rPr>
        <w:t>a</w:t>
      </w:r>
      <w:r w:rsidRPr="003B1CC5">
        <w:rPr>
          <w:color w:val="0000FF"/>
        </w:rPr>
        <w:t>.</w:t>
      </w:r>
      <w:r w:rsidR="00EE5AF6" w:rsidRPr="003B1CC5">
        <w:rPr>
          <w:color w:val="0000FF"/>
        </w:rPr>
        <w:t>7.</w:t>
      </w:r>
      <w:r w:rsidR="00095EC9" w:rsidRPr="003B1CC5">
        <w:rPr>
          <w:color w:val="0000FF"/>
        </w:rPr>
        <w:t>8</w:t>
      </w:r>
      <w:r w:rsidRPr="003B1CC5">
        <w:rPr>
          <w:color w:val="0000FF"/>
        </w:rPr>
        <w:t>.</w:t>
      </w:r>
      <w:r w:rsidRPr="003B1CC5">
        <w:t xml:space="preserve"> </w:t>
      </w:r>
      <w:r w:rsidR="00496AF8" w:rsidRPr="003B1CC5">
        <w:t>What harms were studied and how do they affect the net benefit</w:t>
      </w:r>
      <w:r w:rsidR="00EE1F87" w:rsidRPr="003B1CC5" w:rsidDel="00EE1F87">
        <w:t xml:space="preserve"> </w:t>
      </w:r>
      <w:r w:rsidR="00EE1F87" w:rsidRPr="003B1CC5">
        <w:t>(</w:t>
      </w:r>
      <w:r w:rsidR="00496AF8" w:rsidRPr="003B1CC5">
        <w:t>benefits over harms</w:t>
      </w:r>
      <w:r w:rsidR="00EE1F87" w:rsidRPr="003B1CC5">
        <w:t>)</w:t>
      </w:r>
      <w:r w:rsidR="00496AF8" w:rsidRPr="003B1CC5">
        <w:t>?</w:t>
      </w:r>
    </w:p>
    <w:p w14:paraId="0FD45E52" w14:textId="77777777" w:rsidR="003A202B" w:rsidRPr="00015304" w:rsidRDefault="001E34D4" w:rsidP="003A202B">
      <w:pPr>
        <w:pStyle w:val="Response"/>
      </w:pPr>
      <w:r w:rsidRPr="001E34D4">
        <w:t>Harms were not studied.</w:t>
      </w:r>
    </w:p>
    <w:p w14:paraId="61332D27" w14:textId="77777777" w:rsidR="00496AF8" w:rsidRPr="003B1CC5" w:rsidRDefault="00C5180E" w:rsidP="002E2177">
      <w:pPr>
        <w:ind w:left="0" w:firstLine="0"/>
        <w:rPr>
          <w:b/>
          <w:noProof/>
        </w:rPr>
      </w:pPr>
      <w:r w:rsidRPr="003B1CC5">
        <w:rPr>
          <w:b/>
          <w:noProof/>
        </w:rPr>
        <w:t>UPDATE TO THE SYSTEMATIC REVIEW(S) OF THE BODY OF EVIDENCE</w:t>
      </w:r>
    </w:p>
    <w:p w14:paraId="0358284F" w14:textId="77777777" w:rsidR="00D94795" w:rsidRDefault="001B772D" w:rsidP="00D94795">
      <w:pPr>
        <w:pStyle w:val="Question"/>
        <w:rPr>
          <w:noProof/>
        </w:rPr>
      </w:pPr>
      <w:r w:rsidRPr="003B1CC5">
        <w:rPr>
          <w:noProof/>
          <w:color w:val="0000FF"/>
        </w:rPr>
        <w:t>1</w:t>
      </w:r>
      <w:r w:rsidR="00837121" w:rsidRPr="003B1CC5">
        <w:rPr>
          <w:noProof/>
          <w:color w:val="0000FF"/>
        </w:rPr>
        <w:t>a</w:t>
      </w:r>
      <w:r w:rsidRPr="003B1CC5">
        <w:rPr>
          <w:noProof/>
          <w:color w:val="0000FF"/>
        </w:rPr>
        <w:t>.</w:t>
      </w:r>
      <w:r w:rsidR="00773485" w:rsidRPr="003B1CC5">
        <w:rPr>
          <w:noProof/>
          <w:color w:val="0000FF"/>
        </w:rPr>
        <w:t>7.</w:t>
      </w:r>
      <w:r w:rsidR="00C84623" w:rsidRPr="003B1CC5">
        <w:rPr>
          <w:noProof/>
          <w:color w:val="0000FF"/>
        </w:rPr>
        <w:t>9</w:t>
      </w:r>
      <w:r w:rsidRPr="003B1CC5">
        <w:rPr>
          <w:noProof/>
          <w:color w:val="0000FF"/>
        </w:rPr>
        <w:t>.</w:t>
      </w:r>
      <w:r w:rsidRPr="003B1CC5">
        <w:rPr>
          <w:noProof/>
        </w:rPr>
        <w:t xml:space="preserve"> </w:t>
      </w:r>
      <w:r w:rsidR="00837121" w:rsidRPr="003B1CC5">
        <w:rPr>
          <w:noProof/>
        </w:rPr>
        <w:t xml:space="preserve">If </w:t>
      </w:r>
      <w:r w:rsidR="00496AF8" w:rsidRPr="003B1CC5">
        <w:rPr>
          <w:noProof/>
        </w:rPr>
        <w:t>new studies have been conducted</w:t>
      </w:r>
      <w:r w:rsidR="00837121" w:rsidRPr="003B1CC5">
        <w:rPr>
          <w:noProof/>
        </w:rPr>
        <w:t xml:space="preserve"> since the systematic review </w:t>
      </w:r>
      <w:r w:rsidR="00496AF8" w:rsidRPr="003B1CC5">
        <w:rPr>
          <w:noProof/>
        </w:rPr>
        <w:t>of the body of evidence</w:t>
      </w:r>
      <w:r w:rsidR="0094689F" w:rsidRPr="003B1CC5">
        <w:rPr>
          <w:noProof/>
        </w:rPr>
        <w:t xml:space="preserve">, provide for </w:t>
      </w:r>
      <w:r w:rsidR="00496AF8" w:rsidRPr="003B1CC5">
        <w:rPr>
          <w:noProof/>
          <w:u w:val="single"/>
        </w:rPr>
        <w:t>each</w:t>
      </w:r>
      <w:r w:rsidR="00496AF8" w:rsidRPr="003B1CC5">
        <w:rPr>
          <w:noProof/>
        </w:rPr>
        <w:t xml:space="preserve"> </w:t>
      </w:r>
      <w:r w:rsidR="002875E9" w:rsidRPr="003B1CC5">
        <w:rPr>
          <w:noProof/>
        </w:rPr>
        <w:t xml:space="preserve">new </w:t>
      </w:r>
      <w:r w:rsidR="0094689F" w:rsidRPr="003B1CC5">
        <w:rPr>
          <w:noProof/>
        </w:rPr>
        <w:t>study</w:t>
      </w:r>
      <w:r w:rsidR="00496AF8" w:rsidRPr="003B1CC5">
        <w:rPr>
          <w:noProof/>
        </w:rPr>
        <w:t xml:space="preserve">: </w:t>
      </w:r>
      <w:r w:rsidR="006709EB" w:rsidRPr="003B1CC5">
        <w:rPr>
          <w:noProof/>
        </w:rPr>
        <w:t>1</w:t>
      </w:r>
      <w:r w:rsidR="00496AF8" w:rsidRPr="003B1CC5">
        <w:rPr>
          <w:noProof/>
        </w:rPr>
        <w:t>) citation, 2) description, 3) results, 4) impact on conclusions of systematic review.</w:t>
      </w:r>
    </w:p>
    <w:p w14:paraId="680F0AD4" w14:textId="19848882" w:rsidR="003A202B" w:rsidRPr="00015304" w:rsidRDefault="000438AF" w:rsidP="003A202B">
      <w:pPr>
        <w:pStyle w:val="Response"/>
      </w:pPr>
      <w:r>
        <w:t>Not applicable.</w:t>
      </w:r>
    </w:p>
    <w:p w14:paraId="241F66B2" w14:textId="77777777" w:rsidR="0094689F" w:rsidRPr="00D94795" w:rsidRDefault="00925F11" w:rsidP="00D94795">
      <w:pPr>
        <w:pStyle w:val="LineDivider"/>
      </w:pPr>
      <w:r w:rsidRPr="00D94795">
        <w:t>_________________________</w:t>
      </w:r>
    </w:p>
    <w:p w14:paraId="63B381EB" w14:textId="77777777"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14:paraId="788C0A9B"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1607D92A" w14:textId="77777777" w:rsidR="00472184" w:rsidRDefault="00472184" w:rsidP="00D94795">
      <w:pPr>
        <w:pStyle w:val="Question"/>
        <w:rPr>
          <w:color w:val="0000FF"/>
        </w:rPr>
      </w:pPr>
    </w:p>
    <w:p w14:paraId="366C19EB" w14:textId="77777777" w:rsidR="00837121" w:rsidRPr="003B1CC5" w:rsidRDefault="00837121" w:rsidP="00D94795">
      <w:pPr>
        <w:pStyle w:val="Question"/>
      </w:pPr>
      <w:r w:rsidRPr="003B1CC5">
        <w:rPr>
          <w:color w:val="0000FF"/>
        </w:rPr>
        <w:t>1a.8.1</w:t>
      </w:r>
      <w:r w:rsidRPr="003B1CC5">
        <w:rPr>
          <w:color w:val="0070C0"/>
        </w:rPr>
        <w:t xml:space="preserve"> </w:t>
      </w:r>
      <w:r w:rsidRPr="003B1CC5">
        <w:t>What process was used to identify the evidence?</w:t>
      </w:r>
    </w:p>
    <w:p w14:paraId="7BC4CCDD" w14:textId="7C87A85E" w:rsidR="00FD6C7C" w:rsidRDefault="00961DA9" w:rsidP="00961DA9">
      <w:pPr>
        <w:pStyle w:val="Response"/>
        <w:tabs>
          <w:tab w:val="left" w:pos="2316"/>
        </w:tabs>
        <w:ind w:left="0" w:firstLine="0"/>
      </w:pPr>
      <w:r w:rsidRPr="00961DA9">
        <w:t>HERMES conducted an Environmental Scan in early 2016 of relevant studies published over the past decade (2005-20</w:t>
      </w:r>
      <w:r w:rsidR="003B01E9">
        <w:t>1</w:t>
      </w:r>
      <w:r w:rsidRPr="00961DA9">
        <w:t>5). The search sources and search terms pertain</w:t>
      </w:r>
      <w:r w:rsidR="0077610F">
        <w:t>ing</w:t>
      </w:r>
      <w:r w:rsidRPr="00961DA9">
        <w:t xml:space="preserve"> to the effectiveness of the </w:t>
      </w:r>
      <w:r w:rsidR="00AD7DF3">
        <w:t>quality measure</w:t>
      </w:r>
      <w:r w:rsidR="00AD7DF3" w:rsidRPr="00961DA9">
        <w:t xml:space="preserve"> </w:t>
      </w:r>
      <w:r w:rsidRPr="00961DA9">
        <w:t>studies on the clinical topic of influenza vaccines, are outlined in Table 1.</w:t>
      </w:r>
    </w:p>
    <w:p w14:paraId="01567EB3" w14:textId="1D87BF5B" w:rsidR="00961DA9" w:rsidRPr="00D80F07" w:rsidRDefault="00961DA9" w:rsidP="00961DA9">
      <w:pPr>
        <w:rPr>
          <w:b/>
          <w:color w:val="0000FF"/>
        </w:rPr>
      </w:pPr>
      <w:r w:rsidRPr="00D80F07">
        <w:rPr>
          <w:b/>
          <w:color w:val="0000FF"/>
        </w:rPr>
        <w:t>Table 1: Search Strings and Key Words by Source or Database</w:t>
      </w:r>
    </w:p>
    <w:tbl>
      <w:tblPr>
        <w:tblW w:w="9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8" w:type="dxa"/>
          <w:right w:w="58" w:type="dxa"/>
        </w:tblCellMar>
        <w:tblLook w:val="04A0" w:firstRow="1" w:lastRow="0" w:firstColumn="1" w:lastColumn="0" w:noHBand="0" w:noVBand="1"/>
      </w:tblPr>
      <w:tblGrid>
        <w:gridCol w:w="1612"/>
        <w:gridCol w:w="1946"/>
        <w:gridCol w:w="5802"/>
      </w:tblGrid>
      <w:tr w:rsidR="00D80F07" w:rsidRPr="00D80F07" w14:paraId="2EE9EBCF" w14:textId="77777777" w:rsidTr="00620820">
        <w:trPr>
          <w:tblHeader/>
        </w:trPr>
        <w:tc>
          <w:tcPr>
            <w:tcW w:w="1612" w:type="dxa"/>
            <w:vAlign w:val="bottom"/>
          </w:tcPr>
          <w:p w14:paraId="6E475771" w14:textId="77777777" w:rsidR="00961DA9" w:rsidRPr="00D80F07" w:rsidRDefault="00961DA9" w:rsidP="00620820">
            <w:pPr>
              <w:keepNext/>
              <w:spacing w:before="40" w:after="40"/>
              <w:ind w:left="0" w:firstLine="0"/>
              <w:jc w:val="center"/>
              <w:rPr>
                <w:b/>
                <w:color w:val="0000FF"/>
                <w:sz w:val="18"/>
                <w:szCs w:val="18"/>
              </w:rPr>
            </w:pPr>
            <w:r w:rsidRPr="00D80F07">
              <w:rPr>
                <w:b/>
                <w:color w:val="0000FF"/>
                <w:sz w:val="18"/>
                <w:szCs w:val="18"/>
              </w:rPr>
              <w:t>Source</w:t>
            </w:r>
          </w:p>
        </w:tc>
        <w:tc>
          <w:tcPr>
            <w:tcW w:w="1946" w:type="dxa"/>
            <w:vAlign w:val="bottom"/>
          </w:tcPr>
          <w:p w14:paraId="41F26FA8" w14:textId="77777777" w:rsidR="00961DA9" w:rsidRPr="00D80F07" w:rsidRDefault="00961DA9" w:rsidP="00620820">
            <w:pPr>
              <w:keepNext/>
              <w:spacing w:before="40" w:after="40"/>
              <w:ind w:left="0" w:firstLine="0"/>
              <w:jc w:val="center"/>
              <w:rPr>
                <w:b/>
                <w:color w:val="0000FF"/>
                <w:sz w:val="18"/>
                <w:szCs w:val="18"/>
              </w:rPr>
            </w:pPr>
            <w:r w:rsidRPr="00D80F07">
              <w:rPr>
                <w:b/>
                <w:color w:val="0000FF"/>
                <w:sz w:val="18"/>
                <w:szCs w:val="18"/>
              </w:rPr>
              <w:t>Topic</w:t>
            </w:r>
          </w:p>
        </w:tc>
        <w:tc>
          <w:tcPr>
            <w:tcW w:w="5802" w:type="dxa"/>
            <w:vAlign w:val="bottom"/>
          </w:tcPr>
          <w:p w14:paraId="0CB24ABD" w14:textId="77777777" w:rsidR="00961DA9" w:rsidRPr="00D80F07" w:rsidRDefault="00961DA9" w:rsidP="00620820">
            <w:pPr>
              <w:keepNext/>
              <w:spacing w:before="40" w:after="40"/>
              <w:ind w:left="0" w:firstLine="0"/>
              <w:jc w:val="center"/>
              <w:rPr>
                <w:b/>
                <w:color w:val="0000FF"/>
                <w:sz w:val="18"/>
                <w:szCs w:val="18"/>
              </w:rPr>
            </w:pPr>
            <w:r w:rsidRPr="00D80F07">
              <w:rPr>
                <w:b/>
                <w:color w:val="0000FF"/>
                <w:sz w:val="18"/>
                <w:szCs w:val="18"/>
              </w:rPr>
              <w:t>Search String/Strategy/Key Words Searched*</w:t>
            </w:r>
          </w:p>
        </w:tc>
      </w:tr>
      <w:tr w:rsidR="00D80F07" w:rsidRPr="00D80F07" w14:paraId="2C5A215B" w14:textId="77777777" w:rsidTr="00620820">
        <w:tc>
          <w:tcPr>
            <w:tcW w:w="1612" w:type="dxa"/>
          </w:tcPr>
          <w:p w14:paraId="5F08320C" w14:textId="77777777" w:rsidR="00961DA9" w:rsidRPr="00D80F07" w:rsidRDefault="00961DA9" w:rsidP="00620820">
            <w:pPr>
              <w:spacing w:before="40" w:after="40"/>
              <w:ind w:left="0" w:firstLine="0"/>
              <w:rPr>
                <w:color w:val="0000FF"/>
                <w:sz w:val="18"/>
                <w:szCs w:val="18"/>
              </w:rPr>
            </w:pPr>
            <w:r w:rsidRPr="00D80F07">
              <w:rPr>
                <w:color w:val="0000FF"/>
                <w:sz w:val="18"/>
                <w:szCs w:val="18"/>
              </w:rPr>
              <w:t>1. Cochrane Database of Systematic Reviews</w:t>
            </w:r>
          </w:p>
        </w:tc>
        <w:tc>
          <w:tcPr>
            <w:tcW w:w="1946" w:type="dxa"/>
          </w:tcPr>
          <w:p w14:paraId="5874EBFF" w14:textId="7B530865" w:rsidR="00961DA9" w:rsidRPr="00D80F07" w:rsidRDefault="00961DA9" w:rsidP="00620820">
            <w:pPr>
              <w:spacing w:before="40" w:after="40"/>
              <w:ind w:left="0" w:firstLine="0"/>
              <w:rPr>
                <w:color w:val="0000FF"/>
                <w:sz w:val="18"/>
                <w:szCs w:val="18"/>
              </w:rPr>
            </w:pPr>
            <w:r w:rsidRPr="00D80F07">
              <w:rPr>
                <w:color w:val="0000FF"/>
                <w:sz w:val="18"/>
                <w:szCs w:val="18"/>
              </w:rPr>
              <w:t xml:space="preserve">1. </w:t>
            </w:r>
            <w:r w:rsidR="00D70970">
              <w:rPr>
                <w:color w:val="0000FF"/>
                <w:sz w:val="18"/>
                <w:szCs w:val="18"/>
              </w:rPr>
              <w:t>I</w:t>
            </w:r>
            <w:r w:rsidRPr="00D80F07">
              <w:rPr>
                <w:color w:val="0000FF"/>
                <w:sz w:val="18"/>
                <w:szCs w:val="18"/>
              </w:rPr>
              <w:t>nfluenza vaccine coverage, effectiveness</w:t>
            </w:r>
            <w:r w:rsidR="00FD6C7C">
              <w:rPr>
                <w:color w:val="0000FF"/>
                <w:sz w:val="18"/>
                <w:szCs w:val="18"/>
              </w:rPr>
              <w:t xml:space="preserve"> </w:t>
            </w:r>
            <w:r w:rsidR="00F02380">
              <w:rPr>
                <w:color w:val="0000FF"/>
                <w:sz w:val="18"/>
                <w:szCs w:val="18"/>
              </w:rPr>
              <w:t xml:space="preserve">of </w:t>
            </w:r>
            <w:r w:rsidRPr="00D80F07">
              <w:rPr>
                <w:color w:val="0000FF"/>
                <w:sz w:val="18"/>
                <w:szCs w:val="18"/>
              </w:rPr>
              <w:t>post-acute care</w:t>
            </w:r>
          </w:p>
        </w:tc>
        <w:tc>
          <w:tcPr>
            <w:tcW w:w="5802" w:type="dxa"/>
          </w:tcPr>
          <w:p w14:paraId="188E7639" w14:textId="0E67FB8C" w:rsidR="00961DA9" w:rsidRPr="00D80F07" w:rsidRDefault="00961DA9" w:rsidP="00620820">
            <w:pPr>
              <w:spacing w:before="40" w:after="40"/>
              <w:ind w:left="0" w:firstLine="0"/>
              <w:rPr>
                <w:color w:val="0000FF"/>
                <w:sz w:val="18"/>
                <w:szCs w:val="18"/>
              </w:rPr>
            </w:pPr>
            <w:r w:rsidRPr="00D80F07">
              <w:rPr>
                <w:color w:val="0000FF"/>
                <w:sz w:val="18"/>
                <w:szCs w:val="18"/>
              </w:rPr>
              <w:t>influenza +</w:t>
            </w:r>
            <w:r w:rsidR="00D70970">
              <w:rPr>
                <w:color w:val="0000FF"/>
                <w:sz w:val="18"/>
                <w:szCs w:val="18"/>
              </w:rPr>
              <w:t> </w:t>
            </w:r>
            <w:r w:rsidRPr="00D80F07">
              <w:rPr>
                <w:color w:val="0000FF"/>
                <w:sz w:val="18"/>
                <w:szCs w:val="18"/>
              </w:rPr>
              <w:t>morbidity + post-acute care</w:t>
            </w:r>
          </w:p>
        </w:tc>
      </w:tr>
      <w:tr w:rsidR="00D80F07" w:rsidRPr="00D80F07" w14:paraId="6900EB03" w14:textId="77777777" w:rsidTr="00620820">
        <w:tc>
          <w:tcPr>
            <w:tcW w:w="1612" w:type="dxa"/>
          </w:tcPr>
          <w:p w14:paraId="18BE5FD3" w14:textId="77777777" w:rsidR="00961DA9" w:rsidRPr="00D80F07" w:rsidRDefault="00961DA9" w:rsidP="00620820">
            <w:pPr>
              <w:spacing w:before="40" w:after="40"/>
              <w:ind w:left="0" w:firstLine="0"/>
              <w:rPr>
                <w:color w:val="0000FF"/>
                <w:sz w:val="18"/>
                <w:szCs w:val="18"/>
              </w:rPr>
            </w:pPr>
            <w:r w:rsidRPr="00D80F07">
              <w:rPr>
                <w:color w:val="0000FF"/>
                <w:sz w:val="18"/>
                <w:szCs w:val="18"/>
              </w:rPr>
              <w:t>2. PUBMED Database</w:t>
            </w:r>
          </w:p>
        </w:tc>
        <w:tc>
          <w:tcPr>
            <w:tcW w:w="1946" w:type="dxa"/>
          </w:tcPr>
          <w:p w14:paraId="133F8F7F" w14:textId="3B75FA69" w:rsidR="00961DA9" w:rsidRPr="00D80F07" w:rsidRDefault="00961DA9" w:rsidP="00620820">
            <w:pPr>
              <w:spacing w:before="40" w:after="40"/>
              <w:ind w:left="0" w:firstLine="0"/>
              <w:rPr>
                <w:color w:val="0000FF"/>
                <w:sz w:val="18"/>
                <w:szCs w:val="18"/>
              </w:rPr>
            </w:pPr>
            <w:r w:rsidRPr="00D80F07">
              <w:rPr>
                <w:color w:val="0000FF"/>
                <w:sz w:val="18"/>
                <w:szCs w:val="18"/>
              </w:rPr>
              <w:t xml:space="preserve">2. Broad </w:t>
            </w:r>
            <w:r w:rsidR="00D70970">
              <w:rPr>
                <w:color w:val="0000FF"/>
                <w:sz w:val="18"/>
                <w:szCs w:val="18"/>
              </w:rPr>
              <w:t>s</w:t>
            </w:r>
            <w:r w:rsidRPr="00D80F07">
              <w:rPr>
                <w:color w:val="0000FF"/>
                <w:sz w:val="18"/>
                <w:szCs w:val="18"/>
              </w:rPr>
              <w:t>earch or PAC settings COMBINED _</w:t>
            </w:r>
          </w:p>
        </w:tc>
        <w:tc>
          <w:tcPr>
            <w:tcW w:w="5802" w:type="dxa"/>
          </w:tcPr>
          <w:p w14:paraId="0870C34C"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 human/prevention and control"[Mesh Terms] OR ("influenza vaccines"[MeSH Terms] OR ("influenza"[All Fields] AND "vaccines"[All Fields]) OR "influenza vaccines"[All Fields] OR ("influenza"[All Fields] AND "vaccine"[All Fields]) OR "influenza vaccine"[All Fields]) OR ("pneumococcal vaccines"[MeSH Terms] OR ("pneumococcal"[All Fields] AND "vaccines"[All Fields]) OR "pneumococcal vaccines"[All Fields]) OR "pneumococcal infections/prevention and control"[Mesh Terms] OR "pneumonia/prevention and control"[Mesh Terms] OR "vaccination/utilization"[Mesh Terms] OR "vaccination/standards"[Mesh Terms]) AND (("long-term care"[MeSH Terms] OR ("long-term"[All Fields] AND "care"[All Fields]) OR "long-term care"[All Fields] OR ("long"[All Fields] AND "term"[All Fields] AND "care"[All Fields]) OR "long term care"[All Fields]) OR ("nursing homes"[MeSH Terms] OR ("nursing"[All Fields] AND "homes"[All Fields]) OR "nursing homes"[All Fields]) OR ("homes for the aged"[MeSH Terms] OR ("homes"[All Fields] AND "aged"[All Fields]) OR "homes for the aged"[All Fields]) OR ("skilled nursing facilities"[MeSH Terms] OR ("skilled"[All Fields] AND "nursing"[All Fields] AND "facilities"[All Fields]) OR "skilled nursing facilities"[All Fields]) OR ("residential facilities"[MeSH Terms] OR ("residential"[All Fields] AND "facilities"[All Fields]) OR "residential facilities"[All Fields]) OR ("health services for the aged"[MeSH Terms] OR ("health"[All Fields] AND "services"[All Fields] AND "aged"[All Fields]) OR "health services for the aged"[All Fields])) AND (("adult"[MeSH Terms] OR "adult"[All Fields] OR "adults"[All Fields]) OR ("middle aged"[MeSH Terms] OR ("middle"[All Fields] AND "aged"[All Fields]) OR "middle aged"[All Fields]) OR ("aged"[MeSH Terms] OR "aged"[All Fields])) AND "2011/01/19"[dp] : "2016/01/17"[dp]) AND ("2005/01/01"[PDAT] : "2015/12/31"[PDAT]) AND English[lang]) AND "influenza vaccines"[MeSH Major Topic] AND (("2005/01/01"[PDAT] : "2015/12/31"[PDAT]) AND English[lang])</w:t>
            </w:r>
          </w:p>
        </w:tc>
      </w:tr>
      <w:tr w:rsidR="00D80F07" w:rsidRPr="00D80F07" w14:paraId="07DF0A89" w14:textId="77777777" w:rsidTr="00620820">
        <w:tc>
          <w:tcPr>
            <w:tcW w:w="1612" w:type="dxa"/>
          </w:tcPr>
          <w:p w14:paraId="6344B8F7" w14:textId="77777777" w:rsidR="00961DA9" w:rsidRPr="00D80F07" w:rsidRDefault="00961DA9" w:rsidP="00620820">
            <w:pPr>
              <w:spacing w:before="40" w:after="40"/>
              <w:ind w:left="0" w:firstLine="0"/>
              <w:rPr>
                <w:color w:val="0000FF"/>
                <w:sz w:val="18"/>
                <w:szCs w:val="18"/>
              </w:rPr>
            </w:pPr>
          </w:p>
        </w:tc>
        <w:tc>
          <w:tcPr>
            <w:tcW w:w="1946" w:type="dxa"/>
          </w:tcPr>
          <w:p w14:paraId="5E78C4A1" w14:textId="77777777" w:rsidR="00961DA9" w:rsidRPr="00D80F07" w:rsidRDefault="00961DA9" w:rsidP="00620820">
            <w:pPr>
              <w:spacing w:before="40" w:after="40"/>
              <w:ind w:left="0" w:firstLine="0"/>
              <w:rPr>
                <w:color w:val="0000FF"/>
                <w:sz w:val="18"/>
                <w:szCs w:val="18"/>
              </w:rPr>
            </w:pPr>
            <w:r w:rsidRPr="00D80F07">
              <w:rPr>
                <w:color w:val="0000FF"/>
                <w:sz w:val="18"/>
                <w:szCs w:val="18"/>
              </w:rPr>
              <w:t>3. PAC settings COMBINED _</w:t>
            </w:r>
          </w:p>
        </w:tc>
        <w:tc>
          <w:tcPr>
            <w:tcW w:w="5802" w:type="dxa"/>
          </w:tcPr>
          <w:p w14:paraId="5A1C39B7" w14:textId="77777777" w:rsidR="00961DA9" w:rsidRPr="00D80F07" w:rsidRDefault="00961DA9" w:rsidP="00620820">
            <w:pPr>
              <w:spacing w:before="40" w:after="40"/>
              <w:ind w:left="0" w:firstLine="0"/>
              <w:rPr>
                <w:color w:val="0000FF"/>
                <w:sz w:val="18"/>
                <w:szCs w:val="18"/>
              </w:rPr>
            </w:pPr>
            <w:r w:rsidRPr="00D80F07">
              <w:rPr>
                <w:color w:val="0000FF"/>
                <w:sz w:val="18"/>
                <w:szCs w:val="18"/>
              </w:rPr>
              <w:t>Search (((((((inpatient rehabilitation facility[Title/Abstract]) OR IRF[Title/Abstract]) OR inpatient rehabilitation unit[Title/Abstract]) OR rehabilitation hospital[Title/Abstract]) OR rehabilitation center[MeSH Terms]) OR (acute rehabilitation[Title/Abstract] OR comprehensive rehabilitation[Title/Abstract] OR medical rehabilitation[Title/Abstract])) OR comprehensive inpatient rehabilitation[Title/Abstract]) Filters: Publication date from 2005/01/01 to 2015/12/31</w:t>
            </w:r>
          </w:p>
        </w:tc>
      </w:tr>
      <w:tr w:rsidR="00D80F07" w:rsidRPr="00D80F07" w14:paraId="4948428D" w14:textId="77777777" w:rsidTr="00620820">
        <w:tc>
          <w:tcPr>
            <w:tcW w:w="1612" w:type="dxa"/>
          </w:tcPr>
          <w:p w14:paraId="12A3D036" w14:textId="77777777" w:rsidR="00961DA9" w:rsidRPr="00D80F07" w:rsidRDefault="00961DA9" w:rsidP="00620820">
            <w:pPr>
              <w:spacing w:before="40" w:after="40"/>
              <w:ind w:left="0" w:firstLine="0"/>
              <w:rPr>
                <w:color w:val="0000FF"/>
                <w:sz w:val="18"/>
                <w:szCs w:val="18"/>
              </w:rPr>
            </w:pPr>
          </w:p>
        </w:tc>
        <w:tc>
          <w:tcPr>
            <w:tcW w:w="1946" w:type="dxa"/>
          </w:tcPr>
          <w:p w14:paraId="31776210" w14:textId="77777777" w:rsidR="00961DA9" w:rsidRPr="00D80F07" w:rsidRDefault="00961DA9" w:rsidP="00620820">
            <w:pPr>
              <w:spacing w:before="40" w:after="40"/>
              <w:ind w:left="0" w:firstLine="0"/>
              <w:rPr>
                <w:color w:val="0000FF"/>
                <w:sz w:val="18"/>
                <w:szCs w:val="18"/>
              </w:rPr>
            </w:pPr>
            <w:r w:rsidRPr="00D80F07">
              <w:rPr>
                <w:color w:val="0000FF"/>
                <w:sz w:val="18"/>
                <w:szCs w:val="18"/>
              </w:rPr>
              <w:t>4. PAC settings COMBINED _</w:t>
            </w:r>
          </w:p>
        </w:tc>
        <w:tc>
          <w:tcPr>
            <w:tcW w:w="5802" w:type="dxa"/>
          </w:tcPr>
          <w:p w14:paraId="4BF9CD5D" w14:textId="77777777" w:rsidR="00961DA9" w:rsidRPr="00D80F07" w:rsidRDefault="00961DA9" w:rsidP="00620820">
            <w:pPr>
              <w:spacing w:before="40" w:after="40"/>
              <w:ind w:left="0" w:firstLine="0"/>
              <w:rPr>
                <w:color w:val="0000FF"/>
                <w:sz w:val="18"/>
                <w:szCs w:val="18"/>
              </w:rPr>
            </w:pPr>
            <w:r w:rsidRPr="00D80F07">
              <w:rPr>
                <w:color w:val="0000FF"/>
                <w:sz w:val="18"/>
                <w:szCs w:val="18"/>
              </w:rPr>
              <w:t>("Residential Facilities"[Mesh] OR ("long-term care"[MeSH Terms] OR ("long-term"[All Fields] AND "care"[All Fields]) OR "long-term care"[All Fields] OR ("long"[All Fields] AND "term"[All Fields] AND "care"[All Fields]) OR "long term care"[All Fields]) OR "nursing homes"[All Fields] OR "assisted living"[all]) AND long term care hospital[Title/Abstract] OR LTCH[Title/Abstract] OR long-term care hospital[Title/Abstract] OR long term acute care hospital[Title/Abstract] OR long-term acute care hospital[Title/Abstract] OR LTACH[Title/Abstract] OR chronic hospital[Title/Abstract] AND (("2005/01/01"[PDAT] : "2015/12/31"[PDAT]) AND English[lang])</w:t>
            </w:r>
          </w:p>
        </w:tc>
      </w:tr>
      <w:tr w:rsidR="00D80F07" w:rsidRPr="00D80F07" w14:paraId="24803BF5" w14:textId="77777777" w:rsidTr="00620820">
        <w:tc>
          <w:tcPr>
            <w:tcW w:w="1612" w:type="dxa"/>
          </w:tcPr>
          <w:p w14:paraId="742DE5EC" w14:textId="77777777" w:rsidR="00961DA9" w:rsidRPr="00D80F07" w:rsidRDefault="00961DA9" w:rsidP="00620820">
            <w:pPr>
              <w:spacing w:before="40" w:after="40"/>
              <w:ind w:left="0" w:firstLine="0"/>
              <w:rPr>
                <w:color w:val="0000FF"/>
                <w:sz w:val="18"/>
                <w:szCs w:val="18"/>
              </w:rPr>
            </w:pPr>
          </w:p>
        </w:tc>
        <w:tc>
          <w:tcPr>
            <w:tcW w:w="1946" w:type="dxa"/>
          </w:tcPr>
          <w:p w14:paraId="1FDA929C" w14:textId="77777777" w:rsidR="00961DA9" w:rsidRPr="00D80F07" w:rsidRDefault="00961DA9" w:rsidP="00620820">
            <w:pPr>
              <w:spacing w:before="40" w:after="40"/>
              <w:ind w:left="0" w:firstLine="0"/>
              <w:rPr>
                <w:color w:val="0000FF"/>
                <w:sz w:val="18"/>
                <w:szCs w:val="18"/>
              </w:rPr>
            </w:pPr>
            <w:r w:rsidRPr="00D80F07">
              <w:rPr>
                <w:color w:val="0000FF"/>
                <w:sz w:val="18"/>
                <w:szCs w:val="18"/>
              </w:rPr>
              <w:t>5. PAC settings COMBINED _</w:t>
            </w:r>
          </w:p>
        </w:tc>
        <w:tc>
          <w:tcPr>
            <w:tcW w:w="5802" w:type="dxa"/>
          </w:tcPr>
          <w:p w14:paraId="1F373886" w14:textId="77777777" w:rsidR="00961DA9" w:rsidRPr="00D80F07" w:rsidRDefault="00961DA9" w:rsidP="00620820">
            <w:pPr>
              <w:spacing w:before="40" w:after="40"/>
              <w:ind w:left="0" w:firstLine="0"/>
              <w:rPr>
                <w:color w:val="0000FF"/>
                <w:sz w:val="18"/>
                <w:szCs w:val="18"/>
              </w:rPr>
            </w:pPr>
            <w:r w:rsidRPr="00D80F07">
              <w:rPr>
                <w:color w:val="0000FF"/>
                <w:sz w:val="18"/>
                <w:szCs w:val="18"/>
              </w:rPr>
              <w:t>("Residential Facilities"[Mesh] OR ("long-term care"[MeSH Terms] OR ("long-term"[All Fields] AND "care"[All Fields]) OR "long-term care"[All Fields] OR ("long"[All Fields] AND "term"[All Fields] AND "care"[All Fields]) OR "long term care"[All Fields]) OR "nursing homes"[All Fields] OR "assisted living"[all]) AND ("nursing homes"[MeSH Terms] OR nursing home[Title/Abstract] OR skilled nursing facility[Title/Abstract]) AND (("2005/01/01"[PDAT] : "2015/12/31"[PDAT]) AND English[lang])</w:t>
            </w:r>
          </w:p>
        </w:tc>
      </w:tr>
      <w:tr w:rsidR="00D80F07" w:rsidRPr="00D80F07" w14:paraId="6DF6C540" w14:textId="77777777" w:rsidTr="00620820">
        <w:tc>
          <w:tcPr>
            <w:tcW w:w="1612" w:type="dxa"/>
          </w:tcPr>
          <w:p w14:paraId="6688E039" w14:textId="77777777" w:rsidR="00961DA9" w:rsidRPr="00D80F07" w:rsidRDefault="00961DA9" w:rsidP="00620820">
            <w:pPr>
              <w:spacing w:before="40" w:after="40"/>
              <w:ind w:left="0" w:firstLine="0"/>
              <w:rPr>
                <w:color w:val="0000FF"/>
                <w:sz w:val="18"/>
                <w:szCs w:val="18"/>
              </w:rPr>
            </w:pPr>
          </w:p>
        </w:tc>
        <w:tc>
          <w:tcPr>
            <w:tcW w:w="1946" w:type="dxa"/>
          </w:tcPr>
          <w:p w14:paraId="2C0EC9B8" w14:textId="73D15229" w:rsidR="00961DA9" w:rsidRPr="00D80F07" w:rsidRDefault="00961DA9" w:rsidP="00620820">
            <w:pPr>
              <w:spacing w:before="40" w:after="40"/>
              <w:ind w:left="0" w:firstLine="0"/>
              <w:rPr>
                <w:color w:val="0000FF"/>
                <w:sz w:val="18"/>
                <w:szCs w:val="18"/>
              </w:rPr>
            </w:pPr>
            <w:r w:rsidRPr="00D80F07">
              <w:rPr>
                <w:color w:val="0000FF"/>
                <w:sz w:val="18"/>
                <w:szCs w:val="18"/>
              </w:rPr>
              <w:t>6. Nursing homes</w:t>
            </w:r>
            <w:r w:rsidR="00FD6C7C">
              <w:rPr>
                <w:color w:val="0000FF"/>
                <w:sz w:val="18"/>
                <w:szCs w:val="18"/>
              </w:rPr>
              <w:t>—</w:t>
            </w:r>
            <w:r w:rsidRPr="00D80F07">
              <w:rPr>
                <w:color w:val="0000FF"/>
                <w:sz w:val="18"/>
                <w:szCs w:val="18"/>
              </w:rPr>
              <w:t>simple search</w:t>
            </w:r>
          </w:p>
        </w:tc>
        <w:tc>
          <w:tcPr>
            <w:tcW w:w="5802" w:type="dxa"/>
          </w:tcPr>
          <w:p w14:paraId="4E5D579B"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 vaccines"[Title/Abstract] AND ("nursing homes"[MeSH Terms] OR nursing home[Title/Abstract]) AND ("2005/12/23"[PDat] : "2015/12/20"[PDat])</w:t>
            </w:r>
          </w:p>
        </w:tc>
      </w:tr>
      <w:tr w:rsidR="00D80F07" w:rsidRPr="00D80F07" w14:paraId="40902E77" w14:textId="77777777" w:rsidTr="00620820">
        <w:tc>
          <w:tcPr>
            <w:tcW w:w="1612" w:type="dxa"/>
          </w:tcPr>
          <w:p w14:paraId="2EFA1054" w14:textId="77777777" w:rsidR="00961DA9" w:rsidRPr="00D80F07" w:rsidRDefault="00961DA9" w:rsidP="00620820">
            <w:pPr>
              <w:spacing w:before="40" w:after="40"/>
              <w:ind w:left="0" w:firstLine="0"/>
              <w:rPr>
                <w:color w:val="0000FF"/>
                <w:sz w:val="18"/>
                <w:szCs w:val="18"/>
              </w:rPr>
            </w:pPr>
          </w:p>
        </w:tc>
        <w:tc>
          <w:tcPr>
            <w:tcW w:w="1946" w:type="dxa"/>
          </w:tcPr>
          <w:p w14:paraId="4A512588" w14:textId="6CB1A312" w:rsidR="00961DA9" w:rsidRPr="00D80F07" w:rsidRDefault="00961DA9" w:rsidP="00620820">
            <w:pPr>
              <w:spacing w:before="40" w:after="40"/>
              <w:ind w:left="0" w:firstLine="0"/>
              <w:rPr>
                <w:color w:val="0000FF"/>
                <w:sz w:val="18"/>
                <w:szCs w:val="18"/>
              </w:rPr>
            </w:pPr>
            <w:r w:rsidRPr="00D80F07">
              <w:rPr>
                <w:color w:val="0000FF"/>
                <w:sz w:val="18"/>
                <w:szCs w:val="18"/>
              </w:rPr>
              <w:t>7. Nursing homes</w:t>
            </w:r>
            <w:r w:rsidR="00FD6C7C">
              <w:rPr>
                <w:color w:val="0000FF"/>
                <w:sz w:val="18"/>
                <w:szCs w:val="18"/>
              </w:rPr>
              <w:t>—</w:t>
            </w:r>
            <w:r w:rsidRPr="00D80F07">
              <w:rPr>
                <w:color w:val="0000FF"/>
                <w:sz w:val="18"/>
                <w:szCs w:val="18"/>
              </w:rPr>
              <w:t>simple search</w:t>
            </w:r>
          </w:p>
        </w:tc>
        <w:tc>
          <w:tcPr>
            <w:tcW w:w="5802" w:type="dxa"/>
          </w:tcPr>
          <w:p w14:paraId="2619A308"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 vaccines"[MeSH Terms] OR influenza vaccines[Text Word]+ Publication date from 2005/01/01 to 2015/12/31; English; Aged: 65+ year</w:t>
            </w:r>
          </w:p>
        </w:tc>
      </w:tr>
      <w:tr w:rsidR="00D80F07" w:rsidRPr="00D80F07" w14:paraId="465169C8" w14:textId="77777777" w:rsidTr="00620820">
        <w:tc>
          <w:tcPr>
            <w:tcW w:w="1612" w:type="dxa"/>
          </w:tcPr>
          <w:p w14:paraId="76536CC9" w14:textId="77777777" w:rsidR="00961DA9" w:rsidRPr="00D80F07" w:rsidRDefault="00961DA9" w:rsidP="00620820">
            <w:pPr>
              <w:spacing w:before="40" w:after="40"/>
              <w:ind w:left="0" w:firstLine="0"/>
              <w:rPr>
                <w:color w:val="0000FF"/>
                <w:sz w:val="18"/>
                <w:szCs w:val="18"/>
              </w:rPr>
            </w:pPr>
          </w:p>
        </w:tc>
        <w:tc>
          <w:tcPr>
            <w:tcW w:w="1946" w:type="dxa"/>
          </w:tcPr>
          <w:p w14:paraId="798147E3" w14:textId="59BAC227" w:rsidR="00961DA9" w:rsidRPr="00D80F07" w:rsidRDefault="00961DA9" w:rsidP="00620820">
            <w:pPr>
              <w:spacing w:before="40" w:after="40"/>
              <w:ind w:left="0" w:firstLine="0"/>
              <w:rPr>
                <w:color w:val="0000FF"/>
                <w:sz w:val="18"/>
                <w:szCs w:val="18"/>
              </w:rPr>
            </w:pPr>
            <w:r w:rsidRPr="00D80F07">
              <w:rPr>
                <w:color w:val="0000FF"/>
                <w:sz w:val="18"/>
                <w:szCs w:val="18"/>
              </w:rPr>
              <w:t>8. Nursing homes</w:t>
            </w:r>
            <w:r w:rsidR="00FD6C7C">
              <w:rPr>
                <w:color w:val="0000FF"/>
                <w:sz w:val="18"/>
                <w:szCs w:val="18"/>
              </w:rPr>
              <w:t>—</w:t>
            </w:r>
            <w:r w:rsidRPr="00D80F07">
              <w:rPr>
                <w:color w:val="0000FF"/>
                <w:sz w:val="18"/>
                <w:szCs w:val="18"/>
              </w:rPr>
              <w:t>simple search</w:t>
            </w:r>
          </w:p>
        </w:tc>
        <w:tc>
          <w:tcPr>
            <w:tcW w:w="5802" w:type="dxa"/>
          </w:tcPr>
          <w:p w14:paraId="6FAFCCD1"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 Human/prevention and control"[Mesh]) AND ( "Influenza, Human/epidemiology"[Mesh] OR "Influenza, Human/transmission"[Mesh] )) AND "last 10 years"[PDat] AND English[lang])) AND (("Residential Facilities"[Mesh] OR long term care OR "nursing homes"[All Fields] OR "assisted living"[all fields}))</w:t>
            </w:r>
          </w:p>
        </w:tc>
      </w:tr>
      <w:tr w:rsidR="00D80F07" w:rsidRPr="00D80F07" w14:paraId="3B9A0384" w14:textId="77777777" w:rsidTr="00620820">
        <w:tc>
          <w:tcPr>
            <w:tcW w:w="1612" w:type="dxa"/>
          </w:tcPr>
          <w:p w14:paraId="3C54013D" w14:textId="77777777" w:rsidR="00961DA9" w:rsidRPr="00D80F07" w:rsidRDefault="00961DA9" w:rsidP="00620820">
            <w:pPr>
              <w:spacing w:before="40" w:after="40"/>
              <w:ind w:left="0" w:firstLine="0"/>
              <w:rPr>
                <w:color w:val="0000FF"/>
                <w:sz w:val="18"/>
                <w:szCs w:val="18"/>
              </w:rPr>
            </w:pPr>
          </w:p>
        </w:tc>
        <w:tc>
          <w:tcPr>
            <w:tcW w:w="1946" w:type="dxa"/>
          </w:tcPr>
          <w:p w14:paraId="7DC043FE" w14:textId="4DB5AE14" w:rsidR="00961DA9" w:rsidRPr="00D80F07" w:rsidRDefault="00961DA9" w:rsidP="00620820">
            <w:pPr>
              <w:spacing w:before="40" w:after="40"/>
              <w:ind w:left="0" w:firstLine="0"/>
              <w:rPr>
                <w:color w:val="0000FF"/>
                <w:sz w:val="18"/>
                <w:szCs w:val="18"/>
              </w:rPr>
            </w:pPr>
            <w:r w:rsidRPr="00D80F07">
              <w:rPr>
                <w:color w:val="0000FF"/>
                <w:sz w:val="18"/>
                <w:szCs w:val="18"/>
              </w:rPr>
              <w:t>9. Search string for each</w:t>
            </w:r>
            <w:r w:rsidR="00FD6C7C">
              <w:rPr>
                <w:color w:val="0000FF"/>
                <w:sz w:val="18"/>
                <w:szCs w:val="18"/>
              </w:rPr>
              <w:t xml:space="preserve"> </w:t>
            </w:r>
            <w:r w:rsidRPr="00D80F07">
              <w:rPr>
                <w:color w:val="0000FF"/>
                <w:sz w:val="18"/>
                <w:szCs w:val="18"/>
              </w:rPr>
              <w:t>settings +</w:t>
            </w:r>
            <w:r w:rsidR="00D70970">
              <w:rPr>
                <w:color w:val="0000FF"/>
                <w:sz w:val="18"/>
                <w:szCs w:val="18"/>
              </w:rPr>
              <w:t> </w:t>
            </w:r>
            <w:r w:rsidRPr="00D80F07">
              <w:rPr>
                <w:color w:val="0000FF"/>
                <w:sz w:val="18"/>
                <w:szCs w:val="18"/>
              </w:rPr>
              <w:t>each term for Influenza immunization</w:t>
            </w:r>
            <w:r w:rsidR="00FD6C7C">
              <w:rPr>
                <w:color w:val="0000FF"/>
                <w:sz w:val="18"/>
                <w:szCs w:val="18"/>
              </w:rPr>
              <w:t xml:space="preserve"> </w:t>
            </w:r>
            <w:r w:rsidRPr="00D80F07">
              <w:rPr>
                <w:color w:val="0000FF"/>
                <w:sz w:val="18"/>
                <w:szCs w:val="18"/>
              </w:rPr>
              <w:t>rates</w:t>
            </w:r>
          </w:p>
        </w:tc>
        <w:tc>
          <w:tcPr>
            <w:tcW w:w="5802" w:type="dxa"/>
          </w:tcPr>
          <w:p w14:paraId="53FD6860"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 vaccines"[Title/Abstract] AND (long term care hospital[Title/Abstract] OR LTCH[Title/Abstract] OR (("long-term care"[MeSH Terms] OR ("long-term"[All Fields] AND "care"[All Fields]) OR "long-term care"[All Fields] OR ("long"[All Fields] AND "term"[All Fields] AND "care"[All Fields]) OR "long term care"[All Fields]) AND Abstract[All Fields]) OR hospital[Title/Abstract] OR long-term acute care hospital[Title/Abstract] OR LTACH[Title/Abstract] OR chronic hospital[Title/Abstract]) AND ("2005/12/23"[PDat] : "2015/12/20"[PDat] AND "humans"[MeSH Terms])</w:t>
            </w:r>
          </w:p>
        </w:tc>
      </w:tr>
      <w:tr w:rsidR="00D80F07" w:rsidRPr="00D80F07" w14:paraId="714A5332" w14:textId="77777777" w:rsidTr="00620820">
        <w:tc>
          <w:tcPr>
            <w:tcW w:w="1612" w:type="dxa"/>
          </w:tcPr>
          <w:p w14:paraId="1E85B439" w14:textId="77777777" w:rsidR="00961DA9" w:rsidRPr="00D80F07" w:rsidRDefault="00961DA9" w:rsidP="00620820">
            <w:pPr>
              <w:spacing w:before="40" w:after="40"/>
              <w:ind w:left="0" w:firstLine="0"/>
              <w:rPr>
                <w:color w:val="0000FF"/>
                <w:sz w:val="18"/>
                <w:szCs w:val="18"/>
              </w:rPr>
            </w:pPr>
          </w:p>
        </w:tc>
        <w:tc>
          <w:tcPr>
            <w:tcW w:w="1946" w:type="dxa"/>
          </w:tcPr>
          <w:p w14:paraId="0A5FBD4F" w14:textId="4DE41F10" w:rsidR="00961DA9" w:rsidRPr="00D80F07" w:rsidRDefault="00961DA9" w:rsidP="00620820">
            <w:pPr>
              <w:spacing w:before="40" w:after="40"/>
              <w:ind w:left="0" w:firstLine="0"/>
              <w:rPr>
                <w:color w:val="0000FF"/>
                <w:sz w:val="18"/>
                <w:szCs w:val="18"/>
              </w:rPr>
            </w:pPr>
            <w:r w:rsidRPr="00D80F07">
              <w:rPr>
                <w:color w:val="0000FF"/>
                <w:sz w:val="18"/>
                <w:szCs w:val="18"/>
              </w:rPr>
              <w:t>10. Search string for each</w:t>
            </w:r>
            <w:r w:rsidR="00FD6C7C">
              <w:rPr>
                <w:color w:val="0000FF"/>
                <w:sz w:val="18"/>
                <w:szCs w:val="18"/>
              </w:rPr>
              <w:t xml:space="preserve"> </w:t>
            </w:r>
            <w:r w:rsidRPr="00D80F07">
              <w:rPr>
                <w:color w:val="0000FF"/>
                <w:sz w:val="18"/>
                <w:szCs w:val="18"/>
              </w:rPr>
              <w:t>settings +</w:t>
            </w:r>
            <w:r w:rsidR="00D70970">
              <w:rPr>
                <w:color w:val="0000FF"/>
                <w:sz w:val="18"/>
                <w:szCs w:val="18"/>
              </w:rPr>
              <w:t> </w:t>
            </w:r>
            <w:r w:rsidRPr="00D80F07">
              <w:rPr>
                <w:color w:val="0000FF"/>
                <w:sz w:val="18"/>
                <w:szCs w:val="18"/>
              </w:rPr>
              <w:t>each term for Influenza immunization</w:t>
            </w:r>
            <w:r w:rsidR="00FD6C7C">
              <w:rPr>
                <w:color w:val="0000FF"/>
                <w:sz w:val="18"/>
                <w:szCs w:val="18"/>
              </w:rPr>
              <w:t xml:space="preserve"> </w:t>
            </w:r>
            <w:r w:rsidRPr="00D80F07">
              <w:rPr>
                <w:color w:val="0000FF"/>
                <w:sz w:val="18"/>
                <w:szCs w:val="18"/>
              </w:rPr>
              <w:t>rates</w:t>
            </w:r>
          </w:p>
        </w:tc>
        <w:tc>
          <w:tcPr>
            <w:tcW w:w="5802" w:type="dxa"/>
          </w:tcPr>
          <w:p w14:paraId="15EE47EF" w14:textId="77777777" w:rsidR="00961DA9" w:rsidRPr="00D80F07" w:rsidRDefault="00961DA9" w:rsidP="00620820">
            <w:pPr>
              <w:spacing w:before="40" w:after="40"/>
              <w:ind w:left="0" w:firstLine="0"/>
              <w:rPr>
                <w:color w:val="0000FF"/>
                <w:sz w:val="18"/>
                <w:szCs w:val="18"/>
              </w:rPr>
            </w:pPr>
            <w:r w:rsidRPr="00D80F07">
              <w:rPr>
                <w:color w:val="0000FF"/>
                <w:sz w:val="18"/>
                <w:szCs w:val="18"/>
              </w:rPr>
              <w:t>(("nursing homes"[MeSH Terms] OR nursing home[Title/Abstract]) AND ("Vaccination/statistics and numerical data"[MAJR] AND (("2005/01/01"[PDAT] : "2015/12/31"[PDAT]) AND English[lang]))) AND "United States"[All Fields]</w:t>
            </w:r>
          </w:p>
        </w:tc>
      </w:tr>
      <w:tr w:rsidR="00D80F07" w:rsidRPr="00D80F07" w14:paraId="013F9A89" w14:textId="77777777" w:rsidTr="00620820">
        <w:tc>
          <w:tcPr>
            <w:tcW w:w="1612" w:type="dxa"/>
          </w:tcPr>
          <w:p w14:paraId="4B6687EB" w14:textId="77777777" w:rsidR="00961DA9" w:rsidRPr="00D80F07" w:rsidRDefault="00961DA9" w:rsidP="00620820">
            <w:pPr>
              <w:spacing w:before="40" w:after="40"/>
              <w:ind w:left="0" w:firstLine="0"/>
              <w:rPr>
                <w:color w:val="0000FF"/>
                <w:sz w:val="18"/>
                <w:szCs w:val="18"/>
              </w:rPr>
            </w:pPr>
          </w:p>
        </w:tc>
        <w:tc>
          <w:tcPr>
            <w:tcW w:w="1946" w:type="dxa"/>
          </w:tcPr>
          <w:p w14:paraId="37792BCC" w14:textId="5C5161E4" w:rsidR="00961DA9" w:rsidRPr="00D80F07" w:rsidRDefault="00961DA9" w:rsidP="00620820">
            <w:pPr>
              <w:spacing w:before="40" w:after="40"/>
              <w:ind w:left="0" w:firstLine="0"/>
              <w:rPr>
                <w:color w:val="0000FF"/>
                <w:sz w:val="18"/>
                <w:szCs w:val="18"/>
              </w:rPr>
            </w:pPr>
            <w:r w:rsidRPr="00D80F07">
              <w:rPr>
                <w:color w:val="0000FF"/>
                <w:sz w:val="18"/>
                <w:szCs w:val="18"/>
              </w:rPr>
              <w:t>11. Effect of influenza vaccination on influenza rates in PAC</w:t>
            </w:r>
          </w:p>
        </w:tc>
        <w:tc>
          <w:tcPr>
            <w:tcW w:w="5802" w:type="dxa"/>
          </w:tcPr>
          <w:p w14:paraId="3E91FA64" w14:textId="32F2A545" w:rsidR="00961DA9" w:rsidRPr="00D80F07" w:rsidRDefault="00961DA9" w:rsidP="00620820">
            <w:pPr>
              <w:spacing w:before="40" w:after="40"/>
              <w:ind w:left="0" w:firstLine="0"/>
              <w:rPr>
                <w:color w:val="0000FF"/>
                <w:sz w:val="18"/>
                <w:szCs w:val="18"/>
              </w:rPr>
            </w:pPr>
            <w:r w:rsidRPr="00D80F07">
              <w:rPr>
                <w:color w:val="0000FF"/>
                <w:sz w:val="18"/>
                <w:szCs w:val="18"/>
              </w:rPr>
              <w:t>Search (("influenza vaccines"[MeSH Major Topic] OR "influenza vaccines/adverse effects"[MeSH Major Topic] OR "influenza vaccines/</w:t>
            </w:r>
            <w:r w:rsidR="002E2E60">
              <w:rPr>
                <w:color w:val="0000FF"/>
                <w:sz w:val="18"/>
                <w:szCs w:val="18"/>
              </w:rPr>
              <w:t xml:space="preserve"> </w:t>
            </w:r>
            <w:r w:rsidRPr="00D80F07">
              <w:rPr>
                <w:color w:val="0000FF"/>
                <w:sz w:val="18"/>
                <w:szCs w:val="18"/>
              </w:rPr>
              <w:t>analysis"[MeSH Major Topic] OR "influenza vaccines/immunology"[MeSH Major Topic] OR "influenza vaccines/statistics and numerical data"[MeSH Major Topic] OR "influenza, human"[MeSH Major Topic] OR "influenza, human/complications"[MeSH Major Topic] OR "influenza, human/epidemiology"[MeSH Major Topic] OR "influenza, human/</w:t>
            </w:r>
            <w:r w:rsidR="002E2E60">
              <w:rPr>
                <w:color w:val="0000FF"/>
                <w:sz w:val="18"/>
                <w:szCs w:val="18"/>
              </w:rPr>
              <w:t xml:space="preserve"> </w:t>
            </w:r>
            <w:r w:rsidRPr="00D80F07">
              <w:rPr>
                <w:color w:val="0000FF"/>
                <w:sz w:val="18"/>
                <w:szCs w:val="18"/>
              </w:rPr>
              <w:t>immunology"[MeSH Major Topic] OR "influenza, human/mortality"[MeSH Major Topic] OR "influenza, human/prevention and control"[MeSH Major Topic] OR "influenza, human/statistics and numerical data"[MeSH Major Topic] OR "influenza, human/transmission"[MeSH Major Topic])) Filters: Publication date from 2005/01/01 to 2015/12/31; Humans; English</w:t>
            </w:r>
          </w:p>
        </w:tc>
      </w:tr>
      <w:tr w:rsidR="00D80F07" w:rsidRPr="00D80F07" w14:paraId="3035F0EE" w14:textId="77777777" w:rsidTr="00620820">
        <w:tc>
          <w:tcPr>
            <w:tcW w:w="1612" w:type="dxa"/>
          </w:tcPr>
          <w:p w14:paraId="001822D6" w14:textId="77777777" w:rsidR="00961DA9" w:rsidRPr="00D80F07" w:rsidRDefault="00961DA9" w:rsidP="00620820">
            <w:pPr>
              <w:spacing w:before="40" w:after="40"/>
              <w:ind w:left="0" w:firstLine="0"/>
              <w:rPr>
                <w:color w:val="0000FF"/>
                <w:sz w:val="18"/>
                <w:szCs w:val="18"/>
              </w:rPr>
            </w:pPr>
          </w:p>
        </w:tc>
        <w:tc>
          <w:tcPr>
            <w:tcW w:w="1946" w:type="dxa"/>
          </w:tcPr>
          <w:p w14:paraId="38FD0D89" w14:textId="39253E85" w:rsidR="00961DA9" w:rsidRPr="00D80F07" w:rsidRDefault="00961DA9" w:rsidP="00620820">
            <w:pPr>
              <w:spacing w:before="40" w:after="40"/>
              <w:ind w:left="0" w:firstLine="0"/>
              <w:rPr>
                <w:color w:val="0000FF"/>
                <w:sz w:val="18"/>
                <w:szCs w:val="18"/>
              </w:rPr>
            </w:pPr>
            <w:r w:rsidRPr="00D80F07">
              <w:rPr>
                <w:color w:val="0000FF"/>
                <w:sz w:val="18"/>
                <w:szCs w:val="18"/>
              </w:rPr>
              <w:t>12. Effect of influenza vaccination on influenza rates in PAC</w:t>
            </w:r>
          </w:p>
        </w:tc>
        <w:tc>
          <w:tcPr>
            <w:tcW w:w="5802" w:type="dxa"/>
          </w:tcPr>
          <w:p w14:paraId="5EFD2309" w14:textId="77777777" w:rsidR="00961DA9" w:rsidRPr="00D80F07" w:rsidRDefault="00961DA9" w:rsidP="00620820">
            <w:pPr>
              <w:spacing w:before="40" w:after="40"/>
              <w:ind w:left="0" w:firstLine="0"/>
              <w:rPr>
                <w:color w:val="0000FF"/>
                <w:sz w:val="18"/>
                <w:szCs w:val="18"/>
              </w:rPr>
            </w:pPr>
            <w:r w:rsidRPr="00D80F07">
              <w:rPr>
                <w:color w:val="0000FF"/>
                <w:sz w:val="18"/>
                <w:szCs w:val="18"/>
              </w:rPr>
              <w:t>Search (((''Influenza Vaccines''[Mesh] OR ''Influenza, Human/epidemiology''[Mesh] OR ''Influenza Human/immunology''[Mesh] OR ''Influenza, Human/mortality''[Mesh] OR ''Influenza, Human/prevention and control''[Mesh] OR ''Influenza, Human/transmission''[Mesh] OR influenza vaccine*[tiab] OR (influenza OR flu[tiab])) AND (Vaccine* OR immune *or inocul* OR efficacy OR effectiveness[tiab]) AND (Clinical Trial[Mesh] OR ''Case-Control Studies''[Mesh] OR ''Cohort Studies''[Mesh] OR observational studies[tiab]))) AND ((((("Residential Facilities"[Mesh] OR long term care OR "nursing homes"[All Fields] OR "assisted living"[all fields})))) AND ( "2005/01/01"[PDat] : "2015/12/31"[PDat] )) Filters: Publication date from 2005/01/01 to 2015/12/31</w:t>
            </w:r>
          </w:p>
        </w:tc>
      </w:tr>
      <w:tr w:rsidR="00D80F07" w:rsidRPr="00D80F07" w14:paraId="0E94096A" w14:textId="77777777" w:rsidTr="00620820">
        <w:tc>
          <w:tcPr>
            <w:tcW w:w="1612" w:type="dxa"/>
          </w:tcPr>
          <w:p w14:paraId="20689A14" w14:textId="77777777" w:rsidR="00961DA9" w:rsidRPr="00D80F07" w:rsidRDefault="00961DA9" w:rsidP="00620820">
            <w:pPr>
              <w:spacing w:before="40" w:after="40"/>
              <w:ind w:left="0" w:firstLine="0"/>
              <w:rPr>
                <w:color w:val="0000FF"/>
                <w:sz w:val="18"/>
                <w:szCs w:val="18"/>
              </w:rPr>
            </w:pPr>
          </w:p>
        </w:tc>
        <w:tc>
          <w:tcPr>
            <w:tcW w:w="1946" w:type="dxa"/>
          </w:tcPr>
          <w:p w14:paraId="67EBACE8" w14:textId="4AEF1116" w:rsidR="00961DA9" w:rsidRPr="00D80F07" w:rsidRDefault="00961DA9" w:rsidP="00620820">
            <w:pPr>
              <w:spacing w:before="40" w:after="40"/>
              <w:ind w:left="0" w:firstLine="0"/>
              <w:rPr>
                <w:color w:val="0000FF"/>
                <w:sz w:val="18"/>
                <w:szCs w:val="18"/>
              </w:rPr>
            </w:pPr>
            <w:r w:rsidRPr="00D80F07">
              <w:rPr>
                <w:color w:val="0000FF"/>
                <w:sz w:val="18"/>
                <w:szCs w:val="18"/>
              </w:rPr>
              <w:t>13. Nursing homes</w:t>
            </w:r>
            <w:r w:rsidR="00FD6C7C">
              <w:rPr>
                <w:color w:val="0000FF"/>
                <w:sz w:val="18"/>
                <w:szCs w:val="18"/>
              </w:rPr>
              <w:t>—</w:t>
            </w:r>
            <w:r w:rsidRPr="00D80F07">
              <w:rPr>
                <w:color w:val="0000FF"/>
                <w:sz w:val="18"/>
                <w:szCs w:val="18"/>
              </w:rPr>
              <w:t>alternate</w:t>
            </w:r>
          </w:p>
        </w:tc>
        <w:tc>
          <w:tcPr>
            <w:tcW w:w="5802" w:type="dxa"/>
          </w:tcPr>
          <w:p w14:paraId="7A364222" w14:textId="77C89711" w:rsidR="00961DA9" w:rsidRPr="00D80F07" w:rsidRDefault="00961DA9" w:rsidP="00620820">
            <w:pPr>
              <w:spacing w:before="40" w:after="40"/>
              <w:ind w:left="0" w:firstLine="0"/>
              <w:rPr>
                <w:color w:val="0000FF"/>
                <w:sz w:val="18"/>
                <w:szCs w:val="18"/>
              </w:rPr>
            </w:pPr>
            <w:r w:rsidRPr="00D80F07">
              <w:rPr>
                <w:color w:val="0000FF"/>
                <w:sz w:val="18"/>
                <w:szCs w:val="18"/>
              </w:rPr>
              <w:t>Search (("nursing homes"[MeSH Major Topic]) OR "nursing homes"[Title/Abstract]) AND "homes for the aged"[MeSH Major Topic] Filters: Publication date from 2005/01/01 to 2015/12/31</w:t>
            </w:r>
          </w:p>
        </w:tc>
      </w:tr>
      <w:tr w:rsidR="00D80F07" w:rsidRPr="00D80F07" w14:paraId="5E1443D0" w14:textId="77777777" w:rsidTr="00620820">
        <w:tc>
          <w:tcPr>
            <w:tcW w:w="1612" w:type="dxa"/>
          </w:tcPr>
          <w:p w14:paraId="6039F31C" w14:textId="77777777" w:rsidR="00961DA9" w:rsidRPr="00D80F07" w:rsidRDefault="00961DA9" w:rsidP="00620820">
            <w:pPr>
              <w:spacing w:before="40" w:after="40"/>
              <w:ind w:left="0" w:firstLine="0"/>
              <w:rPr>
                <w:color w:val="0000FF"/>
                <w:sz w:val="18"/>
                <w:szCs w:val="18"/>
              </w:rPr>
            </w:pPr>
          </w:p>
        </w:tc>
        <w:tc>
          <w:tcPr>
            <w:tcW w:w="1946" w:type="dxa"/>
          </w:tcPr>
          <w:p w14:paraId="2A305D94" w14:textId="076ED75C" w:rsidR="00961DA9" w:rsidRPr="00D80F07" w:rsidRDefault="00961DA9" w:rsidP="00620820">
            <w:pPr>
              <w:spacing w:before="40" w:after="40"/>
              <w:ind w:left="0" w:firstLine="0"/>
              <w:rPr>
                <w:color w:val="0000FF"/>
                <w:sz w:val="18"/>
                <w:szCs w:val="18"/>
              </w:rPr>
            </w:pPr>
            <w:r w:rsidRPr="00D80F07">
              <w:rPr>
                <w:color w:val="0000FF"/>
                <w:sz w:val="18"/>
                <w:szCs w:val="18"/>
              </w:rPr>
              <w:t xml:space="preserve">14. Using </w:t>
            </w:r>
            <w:r w:rsidR="00F02380">
              <w:rPr>
                <w:color w:val="0000FF"/>
                <w:sz w:val="18"/>
                <w:szCs w:val="18"/>
              </w:rPr>
              <w:t xml:space="preserve">influenza </w:t>
            </w:r>
            <w:r w:rsidRPr="00D80F07">
              <w:rPr>
                <w:color w:val="0000FF"/>
                <w:sz w:val="18"/>
                <w:szCs w:val="18"/>
              </w:rPr>
              <w:t>alternate</w:t>
            </w:r>
          </w:p>
        </w:tc>
        <w:tc>
          <w:tcPr>
            <w:tcW w:w="5802" w:type="dxa"/>
          </w:tcPr>
          <w:p w14:paraId="1C82B987" w14:textId="77777777" w:rsidR="00961DA9" w:rsidRPr="00D80F07" w:rsidRDefault="00961DA9" w:rsidP="00620820">
            <w:pPr>
              <w:spacing w:before="40" w:after="40"/>
              <w:ind w:left="0" w:firstLine="0"/>
              <w:rPr>
                <w:color w:val="0000FF"/>
                <w:sz w:val="18"/>
                <w:szCs w:val="18"/>
              </w:rPr>
            </w:pPr>
            <w:r w:rsidRPr="00D80F07">
              <w:rPr>
                <w:color w:val="0000FF"/>
                <w:sz w:val="18"/>
                <w:szCs w:val="18"/>
              </w:rPr>
              <w:t>Search ((((("influenza vaccines"[MeSH Major Topic] OR "influenza vaccines/adverse effects"[MeSH Major Topic] OR "influenza vaccines/analysis"[MeSH Major Topic] OR "influenza vaccines/immunology"[MeSH Major Topic] OR "influenza vaccines/statistics and numerical data"[MeSH Major Topic] OR "influenza, human"[MeSH Major Topic] OR "influenza, human/complications"[MeSH Major Topic] OR "influenza, human/epidemiology"[MeSH Major Topic] OR "influenza, human/immunology"[MeSH Major Topic] OR "influenza, human/mortality"[MeSH Major Topic] OR "influenza, human/prevention and control"[MeSH Major Topic] OR "influenza, human/statistics and numerical data"[MeSH Major Topic] OR "influenza, human/transmission"[MeSH Major Topic]))) AND ( "2005/01/01"[PDat] : "2015/12/31"[PDat] ) AND Humans[Mesh] AND English[lang])) AND (((("nursing homes"[MeSH Major Topic]) OR "nursing homes"[Title/Abstract]) AND "homes for the aged"[MeSH Major Topic]) AND ( "2005/01/01"[PDat] : "2015/12/31"[PDat] )) Filters: Publication date from 2005/01/01 to 2015/12/31; Humans; English</w:t>
            </w:r>
          </w:p>
        </w:tc>
      </w:tr>
      <w:tr w:rsidR="00D80F07" w:rsidRPr="00D80F07" w14:paraId="5CFA6951" w14:textId="77777777" w:rsidTr="00620820">
        <w:tc>
          <w:tcPr>
            <w:tcW w:w="1612" w:type="dxa"/>
          </w:tcPr>
          <w:p w14:paraId="4A7A5F40" w14:textId="77777777" w:rsidR="00961DA9" w:rsidRPr="00D80F07" w:rsidRDefault="00961DA9" w:rsidP="00620820">
            <w:pPr>
              <w:spacing w:before="40" w:after="40"/>
              <w:ind w:left="0" w:firstLine="0"/>
              <w:rPr>
                <w:color w:val="0000FF"/>
                <w:sz w:val="18"/>
                <w:szCs w:val="18"/>
              </w:rPr>
            </w:pPr>
          </w:p>
        </w:tc>
        <w:tc>
          <w:tcPr>
            <w:tcW w:w="1946" w:type="dxa"/>
          </w:tcPr>
          <w:p w14:paraId="53A4E82D" w14:textId="2F212F69" w:rsidR="00961DA9" w:rsidRPr="00D80F07" w:rsidRDefault="00961DA9" w:rsidP="00620820">
            <w:pPr>
              <w:spacing w:before="40" w:after="40"/>
              <w:ind w:left="0" w:firstLine="0"/>
              <w:rPr>
                <w:color w:val="0000FF"/>
                <w:sz w:val="18"/>
                <w:szCs w:val="18"/>
              </w:rPr>
            </w:pPr>
            <w:r w:rsidRPr="00D80F07">
              <w:rPr>
                <w:color w:val="0000FF"/>
                <w:sz w:val="18"/>
                <w:szCs w:val="18"/>
              </w:rPr>
              <w:t>15. Nursing homes</w:t>
            </w:r>
            <w:r w:rsidR="00FD6C7C">
              <w:rPr>
                <w:color w:val="0000FF"/>
                <w:sz w:val="18"/>
                <w:szCs w:val="18"/>
              </w:rPr>
              <w:t>—</w:t>
            </w:r>
            <w:r w:rsidR="00D70970">
              <w:rPr>
                <w:color w:val="0000FF"/>
                <w:sz w:val="18"/>
                <w:szCs w:val="18"/>
              </w:rPr>
              <w:t>o</w:t>
            </w:r>
            <w:r w:rsidRPr="00D80F07">
              <w:rPr>
                <w:color w:val="0000FF"/>
                <w:sz w:val="18"/>
                <w:szCs w:val="18"/>
              </w:rPr>
              <w:t xml:space="preserve">utline MeSh </w:t>
            </w:r>
            <w:r w:rsidR="00D70970">
              <w:rPr>
                <w:color w:val="0000FF"/>
                <w:sz w:val="18"/>
                <w:szCs w:val="18"/>
              </w:rPr>
              <w:t>t</w:t>
            </w:r>
            <w:r w:rsidRPr="00D80F07">
              <w:rPr>
                <w:color w:val="0000FF"/>
                <w:sz w:val="18"/>
                <w:szCs w:val="18"/>
              </w:rPr>
              <w:t>erms</w:t>
            </w:r>
          </w:p>
        </w:tc>
        <w:tc>
          <w:tcPr>
            <w:tcW w:w="5802" w:type="dxa"/>
          </w:tcPr>
          <w:p w14:paraId="786BDC96" w14:textId="77777777" w:rsidR="00961DA9" w:rsidRPr="00D80F07" w:rsidRDefault="00961DA9" w:rsidP="00620820">
            <w:pPr>
              <w:spacing w:before="40" w:after="40"/>
              <w:ind w:left="0" w:firstLine="0"/>
              <w:rPr>
                <w:color w:val="0000FF"/>
                <w:sz w:val="18"/>
                <w:szCs w:val="18"/>
              </w:rPr>
            </w:pPr>
            <w:r w:rsidRPr="00D80F07">
              <w:rPr>
                <w:color w:val="0000FF"/>
                <w:sz w:val="18"/>
                <w:szCs w:val="18"/>
              </w:rPr>
              <w:t>Search * NH search ((nursing homes[MeSH Terms]) OR nursing home[Title/Abstract]) OR skilled nursing facility[Title/Abstract] Filters: Publication date from 2005/01/01 to 2015/12/31</w:t>
            </w:r>
          </w:p>
        </w:tc>
      </w:tr>
      <w:tr w:rsidR="00D80F07" w:rsidRPr="00D80F07" w14:paraId="15E9D657" w14:textId="77777777" w:rsidTr="00620820">
        <w:tc>
          <w:tcPr>
            <w:tcW w:w="1612" w:type="dxa"/>
          </w:tcPr>
          <w:p w14:paraId="0DA727F6" w14:textId="77777777" w:rsidR="00961DA9" w:rsidRPr="00D80F07" w:rsidRDefault="00961DA9" w:rsidP="00620820">
            <w:pPr>
              <w:spacing w:before="40" w:after="40"/>
              <w:ind w:left="0" w:firstLine="0"/>
              <w:rPr>
                <w:color w:val="0000FF"/>
                <w:sz w:val="18"/>
                <w:szCs w:val="18"/>
              </w:rPr>
            </w:pPr>
          </w:p>
        </w:tc>
        <w:tc>
          <w:tcPr>
            <w:tcW w:w="1946" w:type="dxa"/>
          </w:tcPr>
          <w:p w14:paraId="60B4D28B" w14:textId="27248A6A" w:rsidR="00961DA9" w:rsidRPr="00D80F07" w:rsidRDefault="00961DA9" w:rsidP="00620820">
            <w:pPr>
              <w:spacing w:before="40" w:after="40"/>
              <w:ind w:left="0" w:firstLine="0"/>
              <w:rPr>
                <w:color w:val="0000FF"/>
                <w:sz w:val="18"/>
                <w:szCs w:val="18"/>
              </w:rPr>
            </w:pPr>
            <w:r w:rsidRPr="00D80F07">
              <w:rPr>
                <w:color w:val="0000FF"/>
                <w:sz w:val="18"/>
                <w:szCs w:val="18"/>
              </w:rPr>
              <w:t>16. Immunocompromised</w:t>
            </w:r>
            <w:r w:rsidR="00D70970">
              <w:rPr>
                <w:color w:val="0000FF"/>
                <w:sz w:val="18"/>
                <w:szCs w:val="18"/>
              </w:rPr>
              <w:t>—</w:t>
            </w:r>
            <w:r w:rsidRPr="00D80F07">
              <w:rPr>
                <w:color w:val="0000FF"/>
                <w:sz w:val="18"/>
                <w:szCs w:val="18"/>
              </w:rPr>
              <w:t>LT</w:t>
            </w:r>
          </w:p>
        </w:tc>
        <w:tc>
          <w:tcPr>
            <w:tcW w:w="5802" w:type="dxa"/>
          </w:tcPr>
          <w:p w14:paraId="13FE17F5" w14:textId="77777777" w:rsidR="00961DA9" w:rsidRPr="00D80F07" w:rsidRDefault="00961DA9" w:rsidP="00620820">
            <w:pPr>
              <w:spacing w:before="40" w:after="40"/>
              <w:ind w:left="0" w:firstLine="0"/>
              <w:rPr>
                <w:color w:val="0000FF"/>
                <w:sz w:val="18"/>
                <w:szCs w:val="18"/>
              </w:rPr>
            </w:pPr>
            <w:r w:rsidRPr="00D80F07">
              <w:rPr>
                <w:color w:val="0000FF"/>
                <w:sz w:val="18"/>
                <w:szCs w:val="18"/>
              </w:rPr>
              <w:t>("Residential Facilities"[Mesh] OR ("long-term care"[MeSH Terms] OR ("long-term"[All Fields] AND "care"[All Fields]) OR "long-term care"[All Fields] OR ("long"[All Fields] AND "term"[All Fields] AND "care"[All Fields]) OR "long term care"[All Fields]) OR "nursing homes"[All Fields] OR "assisted living"[all]) AND (Influenza[Title/Abstract] OR "influenza, human"[MeSH Terms] OR "influenza vaccines"[MeSH Terms]) AND "immunocompromised host"[MeSH Terms] AND ("2005/01/11"[PDAT] : "2015/12/31"[PDAT])</w:t>
            </w:r>
          </w:p>
        </w:tc>
      </w:tr>
      <w:tr w:rsidR="00D80F07" w:rsidRPr="00D80F07" w14:paraId="5AE04F23" w14:textId="77777777" w:rsidTr="00620820">
        <w:tc>
          <w:tcPr>
            <w:tcW w:w="1612" w:type="dxa"/>
          </w:tcPr>
          <w:p w14:paraId="46D09442" w14:textId="3FDED1FC" w:rsidR="00961DA9" w:rsidRPr="00D80F07" w:rsidRDefault="00961DA9" w:rsidP="00620820">
            <w:pPr>
              <w:keepNext/>
              <w:spacing w:before="40" w:after="40"/>
              <w:ind w:left="0" w:firstLine="0"/>
              <w:rPr>
                <w:color w:val="0000FF"/>
                <w:sz w:val="18"/>
                <w:szCs w:val="18"/>
              </w:rPr>
            </w:pPr>
            <w:r w:rsidRPr="00D80F07">
              <w:rPr>
                <w:color w:val="0000FF"/>
                <w:sz w:val="18"/>
                <w:szCs w:val="18"/>
              </w:rPr>
              <w:t xml:space="preserve">3. Manual </w:t>
            </w:r>
            <w:r w:rsidR="006065D8">
              <w:rPr>
                <w:color w:val="0000FF"/>
                <w:sz w:val="18"/>
                <w:szCs w:val="18"/>
              </w:rPr>
              <w:t>s</w:t>
            </w:r>
            <w:r w:rsidRPr="00D80F07">
              <w:rPr>
                <w:color w:val="0000FF"/>
                <w:sz w:val="18"/>
                <w:szCs w:val="18"/>
              </w:rPr>
              <w:t>earches</w:t>
            </w:r>
          </w:p>
        </w:tc>
        <w:tc>
          <w:tcPr>
            <w:tcW w:w="1946" w:type="dxa"/>
          </w:tcPr>
          <w:p w14:paraId="4AD47AD9" w14:textId="77777777" w:rsidR="00961DA9" w:rsidRPr="00D80F07" w:rsidRDefault="00961DA9" w:rsidP="00620820">
            <w:pPr>
              <w:keepNext/>
              <w:spacing w:before="40" w:after="40"/>
              <w:ind w:left="0" w:firstLine="0"/>
              <w:rPr>
                <w:color w:val="0000FF"/>
                <w:sz w:val="18"/>
                <w:szCs w:val="18"/>
              </w:rPr>
            </w:pPr>
          </w:p>
        </w:tc>
        <w:tc>
          <w:tcPr>
            <w:tcW w:w="5802" w:type="dxa"/>
          </w:tcPr>
          <w:p w14:paraId="5479ACA0" w14:textId="77777777" w:rsidR="00961DA9" w:rsidRPr="00D80F07" w:rsidRDefault="00961DA9" w:rsidP="00620820">
            <w:pPr>
              <w:keepNext/>
              <w:spacing w:before="40" w:after="40"/>
              <w:ind w:left="0" w:firstLine="0"/>
              <w:rPr>
                <w:color w:val="0000FF"/>
                <w:sz w:val="18"/>
                <w:szCs w:val="18"/>
              </w:rPr>
            </w:pPr>
          </w:p>
        </w:tc>
      </w:tr>
      <w:tr w:rsidR="00D80F07" w:rsidRPr="00D80F07" w14:paraId="6B18B74A" w14:textId="77777777" w:rsidTr="00620820">
        <w:tc>
          <w:tcPr>
            <w:tcW w:w="1612" w:type="dxa"/>
          </w:tcPr>
          <w:p w14:paraId="6A48E9D3" w14:textId="77777777" w:rsidR="00961DA9" w:rsidRPr="00D80F07" w:rsidRDefault="00961DA9" w:rsidP="00620820">
            <w:pPr>
              <w:spacing w:before="40" w:after="40"/>
              <w:ind w:left="0" w:firstLine="0"/>
              <w:rPr>
                <w:color w:val="0000FF"/>
                <w:sz w:val="18"/>
                <w:szCs w:val="18"/>
              </w:rPr>
            </w:pPr>
          </w:p>
        </w:tc>
        <w:tc>
          <w:tcPr>
            <w:tcW w:w="1946" w:type="dxa"/>
          </w:tcPr>
          <w:p w14:paraId="0A3F2404" w14:textId="38146164" w:rsidR="00961DA9" w:rsidRPr="00D80F07" w:rsidRDefault="00961DA9" w:rsidP="00620820">
            <w:pPr>
              <w:spacing w:before="40" w:after="40"/>
              <w:ind w:left="0" w:firstLine="0"/>
              <w:rPr>
                <w:color w:val="0000FF"/>
                <w:sz w:val="18"/>
                <w:szCs w:val="18"/>
              </w:rPr>
            </w:pPr>
            <w:r w:rsidRPr="00D80F07">
              <w:rPr>
                <w:color w:val="0000FF"/>
                <w:sz w:val="18"/>
                <w:szCs w:val="18"/>
              </w:rPr>
              <w:t>17.</w:t>
            </w:r>
            <w:r w:rsidR="0077610F">
              <w:rPr>
                <w:color w:val="0000FF"/>
                <w:sz w:val="18"/>
                <w:szCs w:val="18"/>
              </w:rPr>
              <w:t xml:space="preserve"> </w:t>
            </w:r>
          </w:p>
        </w:tc>
        <w:tc>
          <w:tcPr>
            <w:tcW w:w="5802" w:type="dxa"/>
          </w:tcPr>
          <w:p w14:paraId="33555132" w14:textId="45D21209" w:rsidR="00961DA9" w:rsidRPr="00D80F07" w:rsidRDefault="00961DA9" w:rsidP="00620820">
            <w:pPr>
              <w:spacing w:before="40" w:after="40"/>
              <w:ind w:left="0" w:firstLine="0"/>
              <w:rPr>
                <w:color w:val="0000FF"/>
                <w:sz w:val="18"/>
                <w:szCs w:val="18"/>
              </w:rPr>
            </w:pPr>
            <w:r w:rsidRPr="00D80F07">
              <w:rPr>
                <w:color w:val="0000FF"/>
                <w:sz w:val="18"/>
                <w:szCs w:val="18"/>
              </w:rPr>
              <w:t>References manually identified from</w:t>
            </w:r>
            <w:r w:rsidR="00FD6C7C">
              <w:rPr>
                <w:color w:val="0000FF"/>
                <w:sz w:val="18"/>
                <w:szCs w:val="18"/>
              </w:rPr>
              <w:t xml:space="preserve"> </w:t>
            </w:r>
            <w:r w:rsidR="00B43BCB">
              <w:rPr>
                <w:color w:val="0000FF"/>
                <w:sz w:val="18"/>
                <w:szCs w:val="18"/>
              </w:rPr>
              <w:t xml:space="preserve">NQF </w:t>
            </w:r>
            <w:r w:rsidRPr="00D80F07">
              <w:rPr>
                <w:color w:val="0000FF"/>
                <w:sz w:val="18"/>
                <w:szCs w:val="18"/>
              </w:rPr>
              <w:t>#0681 Percent of Residents Assessed and Appropriately Given the Seasonal Influenza Vaccine (long stay), Last Updated: Nov 03, 2015</w:t>
            </w:r>
          </w:p>
        </w:tc>
      </w:tr>
      <w:tr w:rsidR="00D80F07" w:rsidRPr="00D80F07" w14:paraId="1DD78F42" w14:textId="77777777" w:rsidTr="00620820">
        <w:tc>
          <w:tcPr>
            <w:tcW w:w="1612" w:type="dxa"/>
          </w:tcPr>
          <w:p w14:paraId="2E3C80B4" w14:textId="77777777" w:rsidR="00961DA9" w:rsidRPr="00D80F07" w:rsidRDefault="00961DA9" w:rsidP="00620820">
            <w:pPr>
              <w:spacing w:before="40" w:after="40"/>
              <w:ind w:left="0" w:firstLine="0"/>
              <w:rPr>
                <w:color w:val="0000FF"/>
                <w:sz w:val="18"/>
                <w:szCs w:val="18"/>
              </w:rPr>
            </w:pPr>
          </w:p>
        </w:tc>
        <w:tc>
          <w:tcPr>
            <w:tcW w:w="1946" w:type="dxa"/>
          </w:tcPr>
          <w:p w14:paraId="622245BE" w14:textId="77777777" w:rsidR="00961DA9" w:rsidRPr="00D80F07" w:rsidRDefault="00961DA9" w:rsidP="00620820">
            <w:pPr>
              <w:spacing w:before="40" w:after="40"/>
              <w:ind w:left="0" w:firstLine="0"/>
              <w:rPr>
                <w:color w:val="0000FF"/>
                <w:sz w:val="18"/>
                <w:szCs w:val="18"/>
              </w:rPr>
            </w:pPr>
            <w:r w:rsidRPr="00D80F07">
              <w:rPr>
                <w:color w:val="0000FF"/>
                <w:sz w:val="18"/>
                <w:szCs w:val="18"/>
              </w:rPr>
              <w:t>18.</w:t>
            </w:r>
          </w:p>
        </w:tc>
        <w:tc>
          <w:tcPr>
            <w:tcW w:w="5802" w:type="dxa"/>
          </w:tcPr>
          <w:p w14:paraId="7D72163A" w14:textId="77777777" w:rsidR="00FD6C7C" w:rsidRDefault="00961DA9" w:rsidP="00620820">
            <w:pPr>
              <w:spacing w:before="40" w:after="40"/>
              <w:ind w:left="0" w:firstLine="0"/>
              <w:rPr>
                <w:color w:val="0000FF"/>
                <w:sz w:val="18"/>
                <w:szCs w:val="18"/>
              </w:rPr>
            </w:pPr>
            <w:r w:rsidRPr="00D80F07">
              <w:rPr>
                <w:color w:val="0000FF"/>
                <w:sz w:val="18"/>
                <w:szCs w:val="18"/>
              </w:rPr>
              <w:t>References manually identified from</w:t>
            </w:r>
            <w:r w:rsidR="00FD6C7C">
              <w:rPr>
                <w:color w:val="0000FF"/>
                <w:sz w:val="18"/>
                <w:szCs w:val="18"/>
              </w:rPr>
              <w:t xml:space="preserve"> </w:t>
            </w:r>
            <w:r w:rsidRPr="00D80F07">
              <w:rPr>
                <w:color w:val="0000FF"/>
                <w:sz w:val="18"/>
                <w:szCs w:val="18"/>
              </w:rPr>
              <w:t>NQF #0680 Percent of Residents or Patients Who Were Assessed and Appropriately Given the Seasonal Influenza Vaccine (Short-Stay),</w:t>
            </w:r>
          </w:p>
          <w:p w14:paraId="70BD00E0" w14:textId="47F42D13" w:rsidR="00961DA9" w:rsidRPr="00D80F07" w:rsidRDefault="00961DA9" w:rsidP="00620820">
            <w:pPr>
              <w:spacing w:before="40" w:after="40"/>
              <w:ind w:left="0" w:firstLine="0"/>
              <w:rPr>
                <w:color w:val="0000FF"/>
                <w:sz w:val="18"/>
                <w:szCs w:val="18"/>
              </w:rPr>
            </w:pPr>
            <w:r w:rsidRPr="00D80F07">
              <w:rPr>
                <w:color w:val="0000FF"/>
                <w:sz w:val="18"/>
                <w:szCs w:val="18"/>
              </w:rPr>
              <w:t>Last Updated Date: Jun 17, 2013</w:t>
            </w:r>
          </w:p>
        </w:tc>
      </w:tr>
      <w:tr w:rsidR="00D80F07" w:rsidRPr="00D80F07" w14:paraId="47F05FD4" w14:textId="77777777" w:rsidTr="00620820">
        <w:tc>
          <w:tcPr>
            <w:tcW w:w="1612" w:type="dxa"/>
          </w:tcPr>
          <w:p w14:paraId="719F9072" w14:textId="77777777" w:rsidR="00961DA9" w:rsidRPr="00D80F07" w:rsidRDefault="00961DA9" w:rsidP="00620820">
            <w:pPr>
              <w:spacing w:before="40" w:after="40"/>
              <w:ind w:left="0" w:firstLine="0"/>
              <w:rPr>
                <w:color w:val="0000FF"/>
                <w:sz w:val="18"/>
                <w:szCs w:val="18"/>
              </w:rPr>
            </w:pPr>
          </w:p>
        </w:tc>
        <w:tc>
          <w:tcPr>
            <w:tcW w:w="1946" w:type="dxa"/>
          </w:tcPr>
          <w:p w14:paraId="11754B78" w14:textId="622A8357" w:rsidR="00961DA9" w:rsidRPr="00D80F07" w:rsidRDefault="00961DA9" w:rsidP="00620820">
            <w:pPr>
              <w:spacing w:before="40" w:after="40"/>
              <w:ind w:left="0" w:firstLine="0"/>
              <w:rPr>
                <w:color w:val="0000FF"/>
                <w:sz w:val="18"/>
                <w:szCs w:val="18"/>
              </w:rPr>
            </w:pPr>
            <w:r w:rsidRPr="00D80F07">
              <w:rPr>
                <w:color w:val="0000FF"/>
                <w:sz w:val="18"/>
                <w:szCs w:val="18"/>
              </w:rPr>
              <w:t>19. Influenza search</w:t>
            </w:r>
            <w:r w:rsidR="00FD6C7C">
              <w:rPr>
                <w:color w:val="0000FF"/>
                <w:sz w:val="18"/>
                <w:szCs w:val="18"/>
              </w:rPr>
              <w:t xml:space="preserve"> </w:t>
            </w:r>
            <w:r w:rsidRPr="00D80F07">
              <w:rPr>
                <w:color w:val="0000FF"/>
                <w:sz w:val="18"/>
                <w:szCs w:val="18"/>
              </w:rPr>
              <w:t>terms + PAC terms +</w:t>
            </w:r>
            <w:r w:rsidR="00D70970">
              <w:rPr>
                <w:color w:val="0000FF"/>
                <w:sz w:val="18"/>
                <w:szCs w:val="18"/>
              </w:rPr>
              <w:t> </w:t>
            </w:r>
            <w:r w:rsidRPr="00D80F07">
              <w:rPr>
                <w:color w:val="0000FF"/>
                <w:sz w:val="18"/>
                <w:szCs w:val="18"/>
              </w:rPr>
              <w:t xml:space="preserve">disparities </w:t>
            </w:r>
            <w:r w:rsidR="00D70970">
              <w:rPr>
                <w:color w:val="0000FF"/>
                <w:sz w:val="18"/>
                <w:szCs w:val="18"/>
              </w:rPr>
              <w:t>d</w:t>
            </w:r>
            <w:r w:rsidRPr="00D80F07">
              <w:rPr>
                <w:color w:val="0000FF"/>
                <w:sz w:val="18"/>
                <w:szCs w:val="18"/>
              </w:rPr>
              <w:t>isability</w:t>
            </w:r>
          </w:p>
        </w:tc>
        <w:tc>
          <w:tcPr>
            <w:tcW w:w="5802" w:type="dxa"/>
          </w:tcPr>
          <w:p w14:paraId="5BDCFD5A"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(Influenza[Title/Abstract] OR "influenza, human"[MeSH Terms] OR "influenza vaccines"[MeSH Terms]) AND disability[Title/Abstract] AND "adult"[MeSH Terms] AND "united states"[MeSH Terms] AND ("2006/01/11"[PDAT] :</w:t>
            </w:r>
          </w:p>
        </w:tc>
      </w:tr>
      <w:tr w:rsidR="00D80F07" w:rsidRPr="00D80F07" w14:paraId="3B72E4A8" w14:textId="77777777" w:rsidTr="00620820">
        <w:tc>
          <w:tcPr>
            <w:tcW w:w="1612" w:type="dxa"/>
          </w:tcPr>
          <w:p w14:paraId="6B9924B3" w14:textId="77777777" w:rsidR="00961DA9" w:rsidRPr="00D80F07" w:rsidRDefault="00961DA9" w:rsidP="00620820">
            <w:pPr>
              <w:spacing w:before="40" w:after="40"/>
              <w:ind w:left="0" w:firstLine="0"/>
              <w:rPr>
                <w:color w:val="0000FF"/>
                <w:sz w:val="18"/>
                <w:szCs w:val="18"/>
              </w:rPr>
            </w:pPr>
          </w:p>
        </w:tc>
        <w:tc>
          <w:tcPr>
            <w:tcW w:w="1946" w:type="dxa"/>
          </w:tcPr>
          <w:p w14:paraId="6D21DB50" w14:textId="77777777" w:rsidR="00961DA9" w:rsidRPr="00D80F07" w:rsidRDefault="00961DA9" w:rsidP="00620820">
            <w:pPr>
              <w:spacing w:before="40" w:after="40"/>
              <w:ind w:left="0" w:firstLine="0"/>
              <w:rPr>
                <w:color w:val="0000FF"/>
                <w:sz w:val="18"/>
                <w:szCs w:val="18"/>
              </w:rPr>
            </w:pPr>
            <w:r w:rsidRPr="00D80F07">
              <w:rPr>
                <w:color w:val="0000FF"/>
                <w:sz w:val="18"/>
                <w:szCs w:val="18"/>
              </w:rPr>
              <w:t>20.</w:t>
            </w:r>
          </w:p>
        </w:tc>
        <w:tc>
          <w:tcPr>
            <w:tcW w:w="5802" w:type="dxa"/>
          </w:tcPr>
          <w:p w14:paraId="46E788AB" w14:textId="00E90B9B" w:rsidR="00961DA9" w:rsidRPr="00D80F07" w:rsidRDefault="00961DA9" w:rsidP="00620820">
            <w:pPr>
              <w:spacing w:before="40" w:after="40"/>
              <w:ind w:left="0" w:firstLine="0"/>
              <w:rPr>
                <w:color w:val="0000FF"/>
                <w:sz w:val="18"/>
                <w:szCs w:val="18"/>
              </w:rPr>
            </w:pPr>
            <w:r w:rsidRPr="00D80F07">
              <w:rPr>
                <w:color w:val="0000FF"/>
                <w:sz w:val="18"/>
                <w:szCs w:val="18"/>
              </w:rPr>
              <w:t>Search ((“public reporting”[TIAB] OR (public AND “report card”[TIAB]) OR ((Medicare OR CMS) AND (“hospital compare” OR “nursing home compare” OR “Medicare ESRD” OR (renal AND “quality incentive program”) OR “Home health compare”)))) AND Influenza Vaccine[MeSH Major Topic] Sort by: Publication</w:t>
            </w:r>
            <w:r w:rsidR="0077610F">
              <w:rPr>
                <w:color w:val="0000FF"/>
                <w:sz w:val="18"/>
                <w:szCs w:val="18"/>
              </w:rPr>
              <w:t xml:space="preserve"> </w:t>
            </w:r>
            <w:r w:rsidRPr="00D80F07">
              <w:rPr>
                <w:color w:val="0000FF"/>
                <w:sz w:val="18"/>
                <w:szCs w:val="18"/>
              </w:rPr>
              <w:t>Date Filters: Publication date from 2005/01/01 to 2015/12/31; English</w:t>
            </w:r>
          </w:p>
        </w:tc>
      </w:tr>
      <w:tr w:rsidR="00D80F07" w:rsidRPr="00D80F07" w14:paraId="1A670BD2" w14:textId="77777777" w:rsidTr="00620820">
        <w:tc>
          <w:tcPr>
            <w:tcW w:w="1612" w:type="dxa"/>
          </w:tcPr>
          <w:p w14:paraId="41BAE762" w14:textId="424891AE" w:rsidR="00961DA9" w:rsidRPr="00D80F07" w:rsidRDefault="00961DA9" w:rsidP="00620820">
            <w:pPr>
              <w:keepNext/>
              <w:spacing w:before="40" w:after="40"/>
              <w:ind w:left="0" w:firstLine="0"/>
              <w:rPr>
                <w:color w:val="0000FF"/>
                <w:sz w:val="18"/>
                <w:szCs w:val="18"/>
              </w:rPr>
            </w:pPr>
            <w:r w:rsidRPr="00D80F07">
              <w:rPr>
                <w:color w:val="0000FF"/>
                <w:sz w:val="18"/>
                <w:szCs w:val="18"/>
              </w:rPr>
              <w:t xml:space="preserve">4. Grey </w:t>
            </w:r>
            <w:r w:rsidR="006065D8">
              <w:rPr>
                <w:color w:val="0000FF"/>
                <w:sz w:val="18"/>
                <w:szCs w:val="18"/>
              </w:rPr>
              <w:t>s</w:t>
            </w:r>
            <w:r w:rsidRPr="00D80F07">
              <w:rPr>
                <w:color w:val="0000FF"/>
                <w:sz w:val="18"/>
                <w:szCs w:val="18"/>
              </w:rPr>
              <w:t>earch</w:t>
            </w:r>
          </w:p>
        </w:tc>
        <w:tc>
          <w:tcPr>
            <w:tcW w:w="1946" w:type="dxa"/>
          </w:tcPr>
          <w:p w14:paraId="3A4B7916" w14:textId="77777777" w:rsidR="00961DA9" w:rsidRPr="00D80F07" w:rsidRDefault="00961DA9" w:rsidP="00620820">
            <w:pPr>
              <w:keepNext/>
              <w:spacing w:before="40" w:after="40"/>
              <w:ind w:left="0" w:firstLine="0"/>
              <w:rPr>
                <w:color w:val="0000FF"/>
                <w:sz w:val="18"/>
                <w:szCs w:val="18"/>
              </w:rPr>
            </w:pPr>
          </w:p>
        </w:tc>
        <w:tc>
          <w:tcPr>
            <w:tcW w:w="5802" w:type="dxa"/>
          </w:tcPr>
          <w:p w14:paraId="7C711CB3" w14:textId="64DC5439" w:rsidR="00961DA9" w:rsidRPr="00D80F07" w:rsidRDefault="00961DA9" w:rsidP="00620820">
            <w:pPr>
              <w:keepNext/>
              <w:spacing w:before="40" w:after="40"/>
              <w:ind w:left="0" w:firstLine="0"/>
              <w:rPr>
                <w:color w:val="0000FF"/>
                <w:sz w:val="18"/>
                <w:szCs w:val="18"/>
              </w:rPr>
            </w:pPr>
            <w:r w:rsidRPr="00D80F07">
              <w:rPr>
                <w:color w:val="0000FF"/>
                <w:sz w:val="18"/>
                <w:szCs w:val="18"/>
              </w:rPr>
              <w:t>“influenza vaccine”, “nursing homes”, “post acute care”, “effectiveness” “disparities” “causes”</w:t>
            </w:r>
          </w:p>
        </w:tc>
      </w:tr>
      <w:tr w:rsidR="00D80F07" w:rsidRPr="00D80F07" w14:paraId="4D89260F" w14:textId="77777777" w:rsidTr="00620820">
        <w:tc>
          <w:tcPr>
            <w:tcW w:w="1612" w:type="dxa"/>
          </w:tcPr>
          <w:p w14:paraId="7E3D3673" w14:textId="77777777" w:rsidR="00961DA9" w:rsidRPr="00D80F07" w:rsidRDefault="00961DA9" w:rsidP="00620820">
            <w:pPr>
              <w:spacing w:before="40" w:after="40"/>
              <w:ind w:left="0" w:firstLine="0"/>
              <w:rPr>
                <w:color w:val="0000FF"/>
                <w:sz w:val="18"/>
                <w:szCs w:val="18"/>
              </w:rPr>
            </w:pPr>
          </w:p>
        </w:tc>
        <w:tc>
          <w:tcPr>
            <w:tcW w:w="1946" w:type="dxa"/>
          </w:tcPr>
          <w:p w14:paraId="0D5EDEB4" w14:textId="77777777" w:rsidR="00961DA9" w:rsidRPr="00D80F07" w:rsidRDefault="00961DA9" w:rsidP="00620820">
            <w:pPr>
              <w:spacing w:before="40" w:after="40"/>
              <w:ind w:left="0" w:firstLine="0"/>
              <w:rPr>
                <w:color w:val="0000FF"/>
                <w:sz w:val="18"/>
                <w:szCs w:val="18"/>
              </w:rPr>
            </w:pPr>
            <w:r w:rsidRPr="00D80F07">
              <w:rPr>
                <w:color w:val="0000FF"/>
                <w:sz w:val="18"/>
                <w:szCs w:val="18"/>
              </w:rPr>
              <w:t>21.</w:t>
            </w:r>
          </w:p>
        </w:tc>
        <w:tc>
          <w:tcPr>
            <w:tcW w:w="5802" w:type="dxa"/>
          </w:tcPr>
          <w:p w14:paraId="08DAD0CE" w14:textId="65585432" w:rsidR="00961DA9" w:rsidRPr="00D80F07" w:rsidRDefault="00961DA9" w:rsidP="00620820">
            <w:pPr>
              <w:spacing w:before="40" w:after="40"/>
              <w:ind w:left="0" w:firstLine="0"/>
              <w:rPr>
                <w:color w:val="0000FF"/>
                <w:sz w:val="18"/>
                <w:szCs w:val="18"/>
              </w:rPr>
            </w:pPr>
            <w:r w:rsidRPr="00D80F07">
              <w:rPr>
                <w:color w:val="0000FF"/>
                <w:sz w:val="18"/>
                <w:szCs w:val="18"/>
              </w:rPr>
              <w:t>U.S. Department of Health and Human Services, Office of Disease Prevention and Health Promotion. (2011, June). Healthy People 2020: Immunization and infectious diseases. Retrieved from</w:t>
            </w:r>
            <w:r w:rsidRPr="00D80F07">
              <w:rPr>
                <w:color w:val="0000FF"/>
                <w:sz w:val="18"/>
                <w:szCs w:val="18"/>
              </w:rPr>
              <w:br/>
              <w:t>http://www.healthypeople.gov/2020/topicsobjectives2020/overview.aspx?topicid=23</w:t>
            </w:r>
          </w:p>
        </w:tc>
      </w:tr>
      <w:tr w:rsidR="00D80F07" w:rsidRPr="00D80F07" w14:paraId="57819276" w14:textId="77777777" w:rsidTr="00620820">
        <w:tc>
          <w:tcPr>
            <w:tcW w:w="1612" w:type="dxa"/>
          </w:tcPr>
          <w:p w14:paraId="2185E245" w14:textId="77777777" w:rsidR="00961DA9" w:rsidRPr="00D80F07" w:rsidRDefault="00961DA9" w:rsidP="00620820">
            <w:pPr>
              <w:spacing w:before="40" w:after="40"/>
              <w:ind w:left="0" w:firstLine="0"/>
              <w:rPr>
                <w:color w:val="0000FF"/>
                <w:sz w:val="18"/>
                <w:szCs w:val="18"/>
              </w:rPr>
            </w:pPr>
          </w:p>
        </w:tc>
        <w:tc>
          <w:tcPr>
            <w:tcW w:w="1946" w:type="dxa"/>
          </w:tcPr>
          <w:p w14:paraId="28463C39" w14:textId="77777777" w:rsidR="00961DA9" w:rsidRPr="00D80F07" w:rsidRDefault="00961DA9" w:rsidP="00620820">
            <w:pPr>
              <w:spacing w:before="40" w:after="40"/>
              <w:ind w:left="0" w:firstLine="0"/>
              <w:rPr>
                <w:color w:val="0000FF"/>
                <w:sz w:val="18"/>
                <w:szCs w:val="18"/>
              </w:rPr>
            </w:pPr>
            <w:r w:rsidRPr="00D80F07">
              <w:rPr>
                <w:color w:val="0000FF"/>
                <w:sz w:val="18"/>
                <w:szCs w:val="18"/>
              </w:rPr>
              <w:t>22.</w:t>
            </w:r>
          </w:p>
        </w:tc>
        <w:tc>
          <w:tcPr>
            <w:tcW w:w="5802" w:type="dxa"/>
          </w:tcPr>
          <w:p w14:paraId="2981114D" w14:textId="10CF35FB" w:rsidR="00961DA9" w:rsidRPr="00D80F07" w:rsidRDefault="00961DA9" w:rsidP="00E85F5B">
            <w:pPr>
              <w:pStyle w:val="Heading3"/>
              <w:spacing w:before="40" w:after="40"/>
              <w:rPr>
                <w:color w:val="0000FF"/>
                <w:sz w:val="18"/>
                <w:szCs w:val="18"/>
              </w:rPr>
            </w:pPr>
            <w:r w:rsidRPr="00D80F07">
              <w:rPr>
                <w:rFonts w:asciiTheme="minorHAnsi" w:eastAsiaTheme="minorHAnsi" w:hAnsiTheme="minorHAnsi" w:cstheme="minorBidi"/>
                <w:b w:val="0"/>
                <w:bCs w:val="0"/>
                <w:color w:val="0000FF"/>
                <w:sz w:val="18"/>
                <w:szCs w:val="18"/>
              </w:rPr>
              <w:t xml:space="preserve">Google Scholar, CDC, </w:t>
            </w:r>
            <w:r w:rsidR="00E85F5B">
              <w:rPr>
                <w:rFonts w:asciiTheme="minorHAnsi" w:eastAsiaTheme="minorHAnsi" w:hAnsiTheme="minorHAnsi" w:cstheme="minorBidi"/>
                <w:b w:val="0"/>
                <w:bCs w:val="0"/>
                <w:color w:val="0000FF"/>
                <w:sz w:val="18"/>
                <w:szCs w:val="18"/>
              </w:rPr>
              <w:t>the World Health Organization (WHO)</w:t>
            </w:r>
            <w:r w:rsidRPr="00D80F07">
              <w:rPr>
                <w:rFonts w:asciiTheme="minorHAnsi" w:eastAsiaTheme="minorHAnsi" w:hAnsiTheme="minorHAnsi" w:cstheme="minorBidi"/>
                <w:b w:val="0"/>
                <w:bCs w:val="0"/>
                <w:color w:val="0000FF"/>
                <w:sz w:val="18"/>
                <w:szCs w:val="18"/>
              </w:rPr>
              <w:t xml:space="preserve">, American Medical Directors Association </w:t>
            </w:r>
            <w:r w:rsidR="00E85F5B">
              <w:rPr>
                <w:rFonts w:asciiTheme="minorHAnsi" w:eastAsiaTheme="minorHAnsi" w:hAnsiTheme="minorHAnsi" w:cstheme="minorBidi"/>
                <w:b w:val="0"/>
                <w:bCs w:val="0"/>
                <w:color w:val="0000FF"/>
                <w:sz w:val="18"/>
                <w:szCs w:val="18"/>
              </w:rPr>
              <w:t>(</w:t>
            </w:r>
            <w:r w:rsidRPr="00D80F07">
              <w:rPr>
                <w:rFonts w:asciiTheme="minorHAnsi" w:eastAsiaTheme="minorHAnsi" w:hAnsiTheme="minorHAnsi" w:cstheme="minorBidi"/>
                <w:b w:val="0"/>
                <w:bCs w:val="0"/>
                <w:color w:val="0000FF"/>
                <w:sz w:val="18"/>
                <w:szCs w:val="18"/>
              </w:rPr>
              <w:t>AMDA</w:t>
            </w:r>
            <w:r w:rsidR="00E85F5B">
              <w:rPr>
                <w:rFonts w:asciiTheme="minorHAnsi" w:eastAsiaTheme="minorHAnsi" w:hAnsiTheme="minorHAnsi" w:cstheme="minorBidi"/>
                <w:b w:val="0"/>
                <w:bCs w:val="0"/>
                <w:color w:val="0000FF"/>
                <w:sz w:val="18"/>
                <w:szCs w:val="18"/>
              </w:rPr>
              <w:t>)</w:t>
            </w:r>
            <w:r w:rsidRPr="00D80F07">
              <w:rPr>
                <w:rFonts w:asciiTheme="minorHAnsi" w:eastAsiaTheme="minorHAnsi" w:hAnsiTheme="minorHAnsi" w:cstheme="minorBidi"/>
                <w:b w:val="0"/>
                <w:bCs w:val="0"/>
                <w:color w:val="0000FF"/>
                <w:sz w:val="18"/>
                <w:szCs w:val="18"/>
              </w:rPr>
              <w:t>–American Healthcare Association,</w:t>
            </w:r>
            <w:r w:rsidR="00FD6C7C">
              <w:rPr>
                <w:rFonts w:asciiTheme="minorHAnsi" w:eastAsiaTheme="minorHAnsi" w:hAnsiTheme="minorHAnsi" w:cstheme="minorBidi"/>
                <w:b w:val="0"/>
                <w:bCs w:val="0"/>
                <w:color w:val="0000FF"/>
                <w:sz w:val="18"/>
                <w:szCs w:val="18"/>
              </w:rPr>
              <w:t xml:space="preserve"> </w:t>
            </w:r>
            <w:r w:rsidRPr="00D80F07">
              <w:rPr>
                <w:rFonts w:asciiTheme="minorHAnsi" w:eastAsiaTheme="minorHAnsi" w:hAnsiTheme="minorHAnsi" w:cstheme="minorBidi"/>
                <w:b w:val="0"/>
                <w:bCs w:val="0"/>
                <w:color w:val="0000FF"/>
                <w:sz w:val="18"/>
                <w:szCs w:val="18"/>
              </w:rPr>
              <w:t>Centers for Medicare and Medicaid Service, Agency for Healthcare Research and Quality, American Lung Association, The Institute of Medicine, American Association of Nurse Assessment Coordination (AANAC), The Pink Book, Nursing Home Compare</w:t>
            </w:r>
          </w:p>
        </w:tc>
      </w:tr>
      <w:tr w:rsidR="00D80F07" w:rsidRPr="00D80F07" w14:paraId="7CD18581" w14:textId="77777777" w:rsidTr="00620820">
        <w:tc>
          <w:tcPr>
            <w:tcW w:w="1612" w:type="dxa"/>
          </w:tcPr>
          <w:p w14:paraId="20DC8A64" w14:textId="77777777" w:rsidR="00961DA9" w:rsidRPr="00D80F07" w:rsidRDefault="00961DA9" w:rsidP="00620820">
            <w:pPr>
              <w:spacing w:before="40" w:after="40"/>
              <w:ind w:left="0" w:firstLine="0"/>
              <w:rPr>
                <w:color w:val="0000FF"/>
                <w:sz w:val="18"/>
                <w:szCs w:val="18"/>
              </w:rPr>
            </w:pPr>
          </w:p>
        </w:tc>
        <w:tc>
          <w:tcPr>
            <w:tcW w:w="1946" w:type="dxa"/>
          </w:tcPr>
          <w:p w14:paraId="47B5E9C8" w14:textId="77777777" w:rsidR="00961DA9" w:rsidRPr="00D80F07" w:rsidRDefault="00961DA9" w:rsidP="00620820">
            <w:pPr>
              <w:spacing w:before="40" w:after="40"/>
              <w:ind w:left="0" w:firstLine="0"/>
              <w:rPr>
                <w:color w:val="0000FF"/>
                <w:sz w:val="18"/>
                <w:szCs w:val="18"/>
              </w:rPr>
            </w:pPr>
            <w:r w:rsidRPr="00D80F07">
              <w:rPr>
                <w:color w:val="0000FF"/>
                <w:sz w:val="18"/>
                <w:szCs w:val="18"/>
              </w:rPr>
              <w:t>23.</w:t>
            </w:r>
          </w:p>
        </w:tc>
        <w:tc>
          <w:tcPr>
            <w:tcW w:w="5802" w:type="dxa"/>
          </w:tcPr>
          <w:p w14:paraId="4631BAA1" w14:textId="08A2E719" w:rsidR="00961DA9" w:rsidRPr="00620820" w:rsidRDefault="00961DA9" w:rsidP="00620820">
            <w:pPr>
              <w:spacing w:before="40" w:after="40"/>
              <w:ind w:left="0" w:firstLine="0"/>
              <w:rPr>
                <w:rFonts w:cs="Arial"/>
                <w:color w:val="0000FF"/>
                <w:sz w:val="18"/>
                <w:szCs w:val="18"/>
              </w:rPr>
            </w:pPr>
            <w:r w:rsidRPr="00D80F07">
              <w:rPr>
                <w:rFonts w:cs="Arial"/>
                <w:color w:val="0000FF"/>
                <w:sz w:val="18"/>
                <w:szCs w:val="18"/>
              </w:rPr>
              <w:t>http://www.cdc.gov/flu/toolkit/long-term-care/coverage.htm</w:t>
            </w:r>
          </w:p>
        </w:tc>
      </w:tr>
      <w:tr w:rsidR="00D80F07" w:rsidRPr="00D80F07" w14:paraId="4A73167D" w14:textId="77777777" w:rsidTr="00620820">
        <w:tc>
          <w:tcPr>
            <w:tcW w:w="1612" w:type="dxa"/>
          </w:tcPr>
          <w:p w14:paraId="0CFBAFF6" w14:textId="77777777" w:rsidR="00961DA9" w:rsidRPr="00D80F07" w:rsidRDefault="00961DA9" w:rsidP="00620820">
            <w:pPr>
              <w:spacing w:before="40" w:after="40"/>
              <w:ind w:left="0" w:firstLine="0"/>
              <w:rPr>
                <w:color w:val="0000FF"/>
                <w:sz w:val="18"/>
                <w:szCs w:val="18"/>
              </w:rPr>
            </w:pPr>
          </w:p>
        </w:tc>
        <w:tc>
          <w:tcPr>
            <w:tcW w:w="1946" w:type="dxa"/>
          </w:tcPr>
          <w:p w14:paraId="2E9A1ADA" w14:textId="77777777" w:rsidR="00961DA9" w:rsidRPr="00D80F07" w:rsidRDefault="00961DA9" w:rsidP="00620820">
            <w:pPr>
              <w:spacing w:before="40" w:after="40"/>
              <w:ind w:left="0" w:firstLine="0"/>
              <w:rPr>
                <w:color w:val="0000FF"/>
                <w:sz w:val="18"/>
                <w:szCs w:val="18"/>
              </w:rPr>
            </w:pPr>
            <w:r w:rsidRPr="00D80F07">
              <w:rPr>
                <w:color w:val="0000FF"/>
                <w:sz w:val="18"/>
                <w:szCs w:val="18"/>
              </w:rPr>
              <w:t>24.</w:t>
            </w:r>
          </w:p>
        </w:tc>
        <w:tc>
          <w:tcPr>
            <w:tcW w:w="5802" w:type="dxa"/>
          </w:tcPr>
          <w:p w14:paraId="7E778696" w14:textId="6C8850E4" w:rsidR="00961DA9" w:rsidRPr="00620820" w:rsidRDefault="00961DA9" w:rsidP="00620820">
            <w:pPr>
              <w:spacing w:before="40" w:after="40"/>
              <w:ind w:left="0" w:firstLine="0"/>
              <w:rPr>
                <w:rFonts w:cs="Arial"/>
                <w:color w:val="0000FF"/>
                <w:sz w:val="18"/>
                <w:szCs w:val="18"/>
              </w:rPr>
            </w:pPr>
            <w:r w:rsidRPr="00D80F07">
              <w:rPr>
                <w:rFonts w:cs="Arial"/>
                <w:color w:val="0000FF"/>
                <w:sz w:val="18"/>
                <w:szCs w:val="18"/>
              </w:rPr>
              <w:t>www.cdc.gov/flu/fluvaxview/1415season.htm</w:t>
            </w:r>
          </w:p>
        </w:tc>
      </w:tr>
      <w:tr w:rsidR="00D80F07" w:rsidRPr="00D80F07" w14:paraId="7DC8B765" w14:textId="77777777" w:rsidTr="00620820">
        <w:tc>
          <w:tcPr>
            <w:tcW w:w="1612" w:type="dxa"/>
          </w:tcPr>
          <w:p w14:paraId="3C3285C3" w14:textId="77777777" w:rsidR="00961DA9" w:rsidRPr="00D80F07" w:rsidRDefault="00961DA9" w:rsidP="00620820">
            <w:pPr>
              <w:spacing w:before="40" w:after="40"/>
              <w:ind w:left="0" w:firstLine="0"/>
              <w:rPr>
                <w:color w:val="0000FF"/>
                <w:sz w:val="18"/>
                <w:szCs w:val="18"/>
              </w:rPr>
            </w:pPr>
          </w:p>
        </w:tc>
        <w:tc>
          <w:tcPr>
            <w:tcW w:w="1946" w:type="dxa"/>
          </w:tcPr>
          <w:p w14:paraId="79426733" w14:textId="77777777" w:rsidR="00961DA9" w:rsidRPr="00D80F07" w:rsidRDefault="00961DA9" w:rsidP="00620820">
            <w:pPr>
              <w:spacing w:before="40" w:after="40"/>
              <w:ind w:left="0" w:firstLine="0"/>
              <w:rPr>
                <w:color w:val="0000FF"/>
                <w:sz w:val="18"/>
                <w:szCs w:val="18"/>
              </w:rPr>
            </w:pPr>
            <w:r w:rsidRPr="00D80F07">
              <w:rPr>
                <w:color w:val="0000FF"/>
                <w:sz w:val="18"/>
                <w:szCs w:val="18"/>
              </w:rPr>
              <w:t>25.</w:t>
            </w:r>
          </w:p>
        </w:tc>
        <w:tc>
          <w:tcPr>
            <w:tcW w:w="5802" w:type="dxa"/>
          </w:tcPr>
          <w:p w14:paraId="124BB76E" w14:textId="66EE2AEC" w:rsidR="00961DA9" w:rsidRPr="00620820" w:rsidRDefault="00F423BA" w:rsidP="00620820">
            <w:pPr>
              <w:spacing w:before="40" w:after="40"/>
              <w:ind w:left="0" w:firstLine="0"/>
              <w:rPr>
                <w:rFonts w:cs="Arial"/>
                <w:color w:val="0000FF"/>
                <w:sz w:val="18"/>
                <w:szCs w:val="18"/>
              </w:rPr>
            </w:pPr>
            <w:r>
              <w:rPr>
                <w:rFonts w:cs="Arial"/>
                <w:color w:val="0000FF"/>
                <w:sz w:val="18"/>
                <w:szCs w:val="18"/>
              </w:rPr>
              <w:t>www.m</w:t>
            </w:r>
            <w:r w:rsidR="00961DA9" w:rsidRPr="00D80F07">
              <w:rPr>
                <w:rFonts w:cs="Arial"/>
                <w:color w:val="0000FF"/>
                <w:sz w:val="18"/>
                <w:szCs w:val="18"/>
              </w:rPr>
              <w:t>edpa</w:t>
            </w:r>
            <w:r>
              <w:rPr>
                <w:rFonts w:cs="Arial"/>
                <w:color w:val="0000FF"/>
                <w:sz w:val="18"/>
                <w:szCs w:val="18"/>
              </w:rPr>
              <w:t>c</w:t>
            </w:r>
            <w:r w:rsidR="00961DA9" w:rsidRPr="00D80F07">
              <w:rPr>
                <w:rFonts w:cs="Arial"/>
                <w:color w:val="0000FF"/>
                <w:sz w:val="18"/>
                <w:szCs w:val="18"/>
              </w:rPr>
              <w:t>.gov</w:t>
            </w:r>
          </w:p>
        </w:tc>
      </w:tr>
      <w:tr w:rsidR="00D80F07" w:rsidRPr="00D80F07" w14:paraId="65D385B5" w14:textId="77777777" w:rsidTr="00620820">
        <w:tc>
          <w:tcPr>
            <w:tcW w:w="1612" w:type="dxa"/>
          </w:tcPr>
          <w:p w14:paraId="1830A5FD" w14:textId="77777777" w:rsidR="00961DA9" w:rsidRPr="00D80F07" w:rsidRDefault="00961DA9" w:rsidP="00620820">
            <w:pPr>
              <w:spacing w:before="40" w:after="40"/>
              <w:ind w:left="0" w:firstLine="0"/>
              <w:rPr>
                <w:color w:val="0000FF"/>
                <w:sz w:val="18"/>
                <w:szCs w:val="18"/>
              </w:rPr>
            </w:pPr>
          </w:p>
        </w:tc>
        <w:tc>
          <w:tcPr>
            <w:tcW w:w="1946" w:type="dxa"/>
          </w:tcPr>
          <w:p w14:paraId="1D5C9DF9" w14:textId="77777777" w:rsidR="00961DA9" w:rsidRPr="00D80F07" w:rsidRDefault="00961DA9" w:rsidP="00620820">
            <w:pPr>
              <w:spacing w:before="40" w:after="40"/>
              <w:ind w:left="0" w:firstLine="0"/>
              <w:rPr>
                <w:color w:val="0000FF"/>
                <w:sz w:val="18"/>
                <w:szCs w:val="18"/>
              </w:rPr>
            </w:pPr>
            <w:r w:rsidRPr="00D80F07">
              <w:rPr>
                <w:color w:val="0000FF"/>
                <w:sz w:val="18"/>
                <w:szCs w:val="18"/>
              </w:rPr>
              <w:t>26.</w:t>
            </w:r>
          </w:p>
        </w:tc>
        <w:tc>
          <w:tcPr>
            <w:tcW w:w="5802" w:type="dxa"/>
          </w:tcPr>
          <w:p w14:paraId="7CB278DC" w14:textId="062DADB5" w:rsidR="00961DA9" w:rsidRPr="00620820" w:rsidRDefault="00DE7CFC" w:rsidP="00620820">
            <w:pPr>
              <w:spacing w:before="40" w:after="40"/>
              <w:ind w:left="0" w:firstLine="0"/>
              <w:rPr>
                <w:color w:val="0000FF"/>
                <w:sz w:val="18"/>
                <w:szCs w:val="18"/>
                <w:u w:val="single"/>
              </w:rPr>
            </w:pPr>
            <w:hyperlink r:id="rId24" w:history="1">
              <w:r w:rsidR="00961DA9" w:rsidRPr="00D80F07">
                <w:rPr>
                  <w:rStyle w:val="Hyperlink"/>
                  <w:color w:val="0000FF"/>
                  <w:sz w:val="18"/>
                  <w:szCs w:val="18"/>
                </w:rPr>
                <w:t>http://www.cdc.gov/flu/weekly/</w:t>
              </w:r>
            </w:hyperlink>
          </w:p>
        </w:tc>
      </w:tr>
      <w:tr w:rsidR="00D80F07" w:rsidRPr="00D80F07" w14:paraId="22D6626B" w14:textId="77777777" w:rsidTr="00620820">
        <w:tc>
          <w:tcPr>
            <w:tcW w:w="1612" w:type="dxa"/>
          </w:tcPr>
          <w:p w14:paraId="7EBD5F45" w14:textId="77777777" w:rsidR="00961DA9" w:rsidRPr="00D80F07" w:rsidRDefault="00961DA9" w:rsidP="00620820">
            <w:pPr>
              <w:spacing w:before="40" w:after="40"/>
              <w:ind w:left="0" w:firstLine="0"/>
              <w:rPr>
                <w:color w:val="0000FF"/>
                <w:sz w:val="18"/>
                <w:szCs w:val="18"/>
              </w:rPr>
            </w:pPr>
          </w:p>
        </w:tc>
        <w:tc>
          <w:tcPr>
            <w:tcW w:w="1946" w:type="dxa"/>
          </w:tcPr>
          <w:p w14:paraId="41FCD732" w14:textId="77777777" w:rsidR="00961DA9" w:rsidRPr="00D80F07" w:rsidRDefault="00961DA9" w:rsidP="00620820">
            <w:pPr>
              <w:spacing w:before="40" w:after="40"/>
              <w:ind w:left="0" w:firstLine="0"/>
              <w:rPr>
                <w:color w:val="0000FF"/>
                <w:sz w:val="18"/>
                <w:szCs w:val="18"/>
              </w:rPr>
            </w:pPr>
            <w:r w:rsidRPr="00D80F07">
              <w:rPr>
                <w:color w:val="0000FF"/>
                <w:sz w:val="18"/>
                <w:szCs w:val="18"/>
              </w:rPr>
              <w:t>27.</w:t>
            </w:r>
          </w:p>
        </w:tc>
        <w:tc>
          <w:tcPr>
            <w:tcW w:w="5802" w:type="dxa"/>
          </w:tcPr>
          <w:p w14:paraId="5BBAA846" w14:textId="216DB500" w:rsidR="00961DA9" w:rsidRPr="00620820" w:rsidRDefault="00DE7CFC" w:rsidP="00620820">
            <w:pPr>
              <w:spacing w:before="40" w:after="40"/>
              <w:ind w:left="0" w:firstLine="0"/>
              <w:rPr>
                <w:color w:val="0000FF"/>
                <w:sz w:val="18"/>
                <w:szCs w:val="18"/>
                <w:u w:val="single"/>
              </w:rPr>
            </w:pPr>
            <w:hyperlink r:id="rId25" w:history="1">
              <w:r w:rsidR="00961DA9" w:rsidRPr="00D80F07">
                <w:rPr>
                  <w:rStyle w:val="Hyperlink"/>
                  <w:color w:val="0000FF"/>
                  <w:sz w:val="18"/>
                  <w:szCs w:val="18"/>
                </w:rPr>
                <w:t>http://gis.cdc.gov/GRASP/Fluview/FluHospRates.html</w:t>
              </w:r>
            </w:hyperlink>
          </w:p>
        </w:tc>
      </w:tr>
      <w:tr w:rsidR="00D80F07" w:rsidRPr="00D80F07" w14:paraId="327B8DB2" w14:textId="77777777" w:rsidTr="00620820">
        <w:tc>
          <w:tcPr>
            <w:tcW w:w="1612" w:type="dxa"/>
          </w:tcPr>
          <w:p w14:paraId="158A664F" w14:textId="77777777" w:rsidR="00961DA9" w:rsidRPr="00D80F07" w:rsidRDefault="00961DA9" w:rsidP="00620820">
            <w:pPr>
              <w:spacing w:before="40" w:after="40"/>
              <w:ind w:left="0" w:firstLine="0"/>
              <w:rPr>
                <w:color w:val="0000FF"/>
                <w:sz w:val="18"/>
                <w:szCs w:val="18"/>
              </w:rPr>
            </w:pPr>
          </w:p>
        </w:tc>
        <w:tc>
          <w:tcPr>
            <w:tcW w:w="1946" w:type="dxa"/>
          </w:tcPr>
          <w:p w14:paraId="7983AA74" w14:textId="77777777" w:rsidR="00961DA9" w:rsidRPr="00D80F07" w:rsidRDefault="00961DA9" w:rsidP="00620820">
            <w:pPr>
              <w:spacing w:before="40" w:after="40"/>
              <w:ind w:left="0" w:firstLine="0"/>
              <w:rPr>
                <w:color w:val="0000FF"/>
                <w:sz w:val="18"/>
                <w:szCs w:val="18"/>
              </w:rPr>
            </w:pPr>
            <w:r w:rsidRPr="00D80F07">
              <w:rPr>
                <w:color w:val="0000FF"/>
                <w:sz w:val="18"/>
                <w:szCs w:val="18"/>
              </w:rPr>
              <w:t>28.</w:t>
            </w:r>
          </w:p>
        </w:tc>
        <w:tc>
          <w:tcPr>
            <w:tcW w:w="5802" w:type="dxa"/>
          </w:tcPr>
          <w:p w14:paraId="6B302EAD" w14:textId="08C575FA" w:rsidR="00961DA9" w:rsidRPr="00620820" w:rsidRDefault="00DE7CFC" w:rsidP="00620820">
            <w:pPr>
              <w:spacing w:before="40" w:after="40"/>
              <w:ind w:left="0" w:firstLine="0"/>
              <w:rPr>
                <w:color w:val="0000FF"/>
                <w:sz w:val="18"/>
                <w:szCs w:val="18"/>
                <w:u w:val="single"/>
              </w:rPr>
            </w:pPr>
            <w:hyperlink r:id="rId26" w:history="1">
              <w:r w:rsidR="00961DA9" w:rsidRPr="00D80F07">
                <w:rPr>
                  <w:rStyle w:val="Hyperlink"/>
                  <w:color w:val="0000FF"/>
                  <w:sz w:val="18"/>
                  <w:szCs w:val="18"/>
                </w:rPr>
                <w:t>http://www.ahcancal.org/research_data/trends_statistics/Pages/Fast-Facts.aspx</w:t>
              </w:r>
            </w:hyperlink>
          </w:p>
        </w:tc>
      </w:tr>
      <w:tr w:rsidR="00D80F07" w:rsidRPr="00D80F07" w14:paraId="78CEA670" w14:textId="77777777" w:rsidTr="00620820">
        <w:tc>
          <w:tcPr>
            <w:tcW w:w="1612" w:type="dxa"/>
          </w:tcPr>
          <w:p w14:paraId="48F7C067" w14:textId="77777777" w:rsidR="00961DA9" w:rsidRPr="00D80F07" w:rsidRDefault="00961DA9" w:rsidP="00620820">
            <w:pPr>
              <w:spacing w:before="40" w:after="40"/>
              <w:ind w:left="0" w:firstLine="0"/>
              <w:rPr>
                <w:color w:val="0000FF"/>
                <w:sz w:val="18"/>
                <w:szCs w:val="18"/>
              </w:rPr>
            </w:pPr>
          </w:p>
        </w:tc>
        <w:tc>
          <w:tcPr>
            <w:tcW w:w="1946" w:type="dxa"/>
          </w:tcPr>
          <w:p w14:paraId="639D07FB" w14:textId="77777777" w:rsidR="00961DA9" w:rsidRPr="00D80F07" w:rsidRDefault="00961DA9" w:rsidP="00620820">
            <w:pPr>
              <w:spacing w:before="40" w:after="40"/>
              <w:ind w:left="0" w:firstLine="0"/>
              <w:rPr>
                <w:color w:val="0000FF"/>
                <w:sz w:val="18"/>
                <w:szCs w:val="18"/>
              </w:rPr>
            </w:pPr>
            <w:r w:rsidRPr="00D80F07">
              <w:rPr>
                <w:color w:val="0000FF"/>
                <w:sz w:val="18"/>
                <w:szCs w:val="18"/>
              </w:rPr>
              <w:t>29.</w:t>
            </w:r>
          </w:p>
        </w:tc>
        <w:tc>
          <w:tcPr>
            <w:tcW w:w="5802" w:type="dxa"/>
          </w:tcPr>
          <w:p w14:paraId="5B87838D" w14:textId="1A4BBB69" w:rsidR="00961DA9" w:rsidRPr="00620820" w:rsidRDefault="00DE7CFC" w:rsidP="00620820">
            <w:pPr>
              <w:spacing w:before="40" w:after="40"/>
              <w:ind w:left="0" w:firstLine="0"/>
              <w:rPr>
                <w:color w:val="0000FF"/>
                <w:sz w:val="18"/>
                <w:szCs w:val="18"/>
                <w:u w:val="single"/>
              </w:rPr>
            </w:pPr>
            <w:hyperlink r:id="rId27" w:history="1">
              <w:r w:rsidR="00961DA9" w:rsidRPr="00D80F07">
                <w:rPr>
                  <w:rStyle w:val="Hyperlink"/>
                  <w:color w:val="0000FF"/>
                  <w:sz w:val="18"/>
                  <w:szCs w:val="18"/>
                </w:rPr>
                <w:t>https://www.nlm.nih.gov/nichsr/hedges/search.html</w:t>
              </w:r>
            </w:hyperlink>
          </w:p>
        </w:tc>
      </w:tr>
      <w:tr w:rsidR="00D80F07" w:rsidRPr="00D80F07" w14:paraId="0F2FA5E9" w14:textId="77777777" w:rsidTr="00620820">
        <w:tc>
          <w:tcPr>
            <w:tcW w:w="1612" w:type="dxa"/>
          </w:tcPr>
          <w:p w14:paraId="2AD41E4F" w14:textId="77777777" w:rsidR="00961DA9" w:rsidRPr="00D80F07" w:rsidRDefault="00961DA9" w:rsidP="00620820">
            <w:pPr>
              <w:spacing w:before="40" w:after="40"/>
              <w:ind w:left="0" w:firstLine="0"/>
              <w:rPr>
                <w:color w:val="0000FF"/>
                <w:sz w:val="18"/>
                <w:szCs w:val="18"/>
              </w:rPr>
            </w:pPr>
          </w:p>
        </w:tc>
        <w:tc>
          <w:tcPr>
            <w:tcW w:w="1946" w:type="dxa"/>
          </w:tcPr>
          <w:p w14:paraId="269B8DD9" w14:textId="77777777" w:rsidR="00961DA9" w:rsidRPr="00D80F07" w:rsidRDefault="00961DA9" w:rsidP="00620820">
            <w:pPr>
              <w:spacing w:before="40" w:after="40"/>
              <w:ind w:left="0" w:firstLine="0"/>
              <w:rPr>
                <w:color w:val="0000FF"/>
                <w:sz w:val="18"/>
                <w:szCs w:val="18"/>
              </w:rPr>
            </w:pPr>
            <w:r w:rsidRPr="00D80F07">
              <w:rPr>
                <w:color w:val="0000FF"/>
                <w:sz w:val="18"/>
                <w:szCs w:val="18"/>
              </w:rPr>
              <w:t>30.</w:t>
            </w:r>
          </w:p>
        </w:tc>
        <w:tc>
          <w:tcPr>
            <w:tcW w:w="5802" w:type="dxa"/>
          </w:tcPr>
          <w:p w14:paraId="389D8CCF" w14:textId="77777777" w:rsidR="00961DA9" w:rsidRPr="00D80F07" w:rsidRDefault="00961DA9" w:rsidP="00620820">
            <w:pPr>
              <w:spacing w:before="40" w:after="40"/>
              <w:ind w:left="0" w:firstLine="0"/>
              <w:rPr>
                <w:color w:val="0000FF"/>
                <w:sz w:val="18"/>
                <w:szCs w:val="18"/>
              </w:rPr>
            </w:pPr>
            <w:r w:rsidRPr="00D80F07">
              <w:rPr>
                <w:color w:val="0000FF"/>
                <w:sz w:val="18"/>
                <w:szCs w:val="18"/>
              </w:rPr>
              <w:t>http://www.fda.gov/BiologicsBloodVaccines/Vaccines/default.htm</w:t>
            </w:r>
          </w:p>
        </w:tc>
      </w:tr>
    </w:tbl>
    <w:p w14:paraId="31FCA4C7" w14:textId="77777777" w:rsidR="00961DA9" w:rsidRPr="00620820" w:rsidRDefault="00961DA9" w:rsidP="00961DA9">
      <w:pPr>
        <w:rPr>
          <w:rFonts w:ascii="Times New Roman" w:hAnsi="Times New Roman" w:cs="Times New Roman"/>
          <w:b/>
          <w:color w:val="0000FF"/>
          <w:sz w:val="24"/>
          <w:szCs w:val="24"/>
        </w:rPr>
      </w:pPr>
      <w:r w:rsidRPr="00620820">
        <w:rPr>
          <w:color w:val="0000FF"/>
          <w:sz w:val="18"/>
          <w:szCs w:val="18"/>
        </w:rPr>
        <w:t>*Note: search strings were only included if they generated a yield that included unique non-duplicated references</w:t>
      </w:r>
    </w:p>
    <w:p w14:paraId="4E4EF3E5" w14:textId="77777777" w:rsidR="00FD6C7C" w:rsidRDefault="00961DA9" w:rsidP="00961DA9">
      <w:pPr>
        <w:pStyle w:val="Response"/>
        <w:ind w:left="0" w:firstLine="0"/>
      </w:pPr>
      <w:r w:rsidRPr="00F855D7">
        <w:t>Th</w:t>
      </w:r>
      <w:r>
        <w:t>e</w:t>
      </w:r>
      <w:r w:rsidRPr="00F855D7">
        <w:t xml:space="preserve"> search </w:t>
      </w:r>
      <w:r>
        <w:t>conducted by HERMES yielded</w:t>
      </w:r>
      <w:r w:rsidRPr="00F855D7">
        <w:t xml:space="preserve"> </w:t>
      </w:r>
      <w:r>
        <w:t>137 non-duplicated</w:t>
      </w:r>
      <w:r w:rsidRPr="00F37235">
        <w:t xml:space="preserve"> articles. </w:t>
      </w:r>
      <w:r>
        <w:t>They</w:t>
      </w:r>
      <w:r w:rsidRPr="005362B2">
        <w:t xml:space="preserve"> reviewed these titles to determin</w:t>
      </w:r>
      <w:r>
        <w:t>e which articles would be reviewed in full. This yielded 92 articles for review, of which 77 were included in the Environmental Scan. There were 8 Systematic Reviews and 3 clinical guidelines included among these final 77 articles.</w:t>
      </w:r>
    </w:p>
    <w:p w14:paraId="4495FE7A" w14:textId="1CCBB798" w:rsidR="00961DA9" w:rsidRPr="00961DA9" w:rsidRDefault="00837121" w:rsidP="00961DA9">
      <w:pPr>
        <w:pStyle w:val="Question"/>
      </w:pPr>
      <w:r w:rsidRPr="003B1CC5">
        <w:rPr>
          <w:color w:val="0000FF"/>
        </w:rPr>
        <w:t>1a.8.2.</w:t>
      </w:r>
      <w:r w:rsidR="00961DA9" w:rsidRPr="0051304C">
        <w:t xml:space="preserve"> Provide the citation and summary for each piece of evidence.</w:t>
      </w:r>
    </w:p>
    <w:p w14:paraId="0BEE6E0E" w14:textId="04B09515" w:rsidR="005827B0" w:rsidRDefault="003548EA" w:rsidP="003548EA">
      <w:pPr>
        <w:pStyle w:val="Response"/>
        <w:ind w:left="0" w:firstLine="0"/>
      </w:pPr>
      <w:r>
        <w:t>Influenza vaccination is associated with</w:t>
      </w:r>
      <w:r w:rsidR="00192E57">
        <w:t xml:space="preserve"> mitigating </w:t>
      </w:r>
      <w:r w:rsidR="008E40F3">
        <w:t xml:space="preserve">influenza and pneumonia </w:t>
      </w:r>
      <w:r w:rsidR="00192E57">
        <w:t>disease severity and complications</w:t>
      </w:r>
      <w:r w:rsidR="00A67A19">
        <w:t xml:space="preserve"> among elderly</w:t>
      </w:r>
      <w:r w:rsidR="005827B0">
        <w:t xml:space="preserve"> individuals</w:t>
      </w:r>
      <w:r w:rsidR="00500765">
        <w:t xml:space="preserve"> in the United States</w:t>
      </w:r>
      <w:r w:rsidR="00192E57">
        <w:t xml:space="preserve">, as evidenced by </w:t>
      </w:r>
      <w:r>
        <w:t>reduction</w:t>
      </w:r>
      <w:r w:rsidR="00192E57">
        <w:t>s</w:t>
      </w:r>
      <w:r>
        <w:t xml:space="preserve"> in </w:t>
      </w:r>
      <w:r w:rsidR="00C51125">
        <w:t>pneumonia and influenza (</w:t>
      </w:r>
      <w:r w:rsidR="00056BEA">
        <w:t>P&amp;I</w:t>
      </w:r>
      <w:r w:rsidR="00C51125">
        <w:t>)</w:t>
      </w:r>
      <w:r w:rsidR="00500765">
        <w:t>-related</w:t>
      </w:r>
      <w:r w:rsidR="00546692">
        <w:t xml:space="preserve"> </w:t>
      </w:r>
      <w:r>
        <w:t>hospital admissions</w:t>
      </w:r>
      <w:r w:rsidR="00546692">
        <w:t>,</w:t>
      </w:r>
      <w:r w:rsidR="00192E57">
        <w:t xml:space="preserve"> </w:t>
      </w:r>
      <w:r>
        <w:t>shorter length</w:t>
      </w:r>
      <w:r w:rsidR="00546692">
        <w:t>s</w:t>
      </w:r>
      <w:r>
        <w:t xml:space="preserve"> of ICU stay</w:t>
      </w:r>
      <w:r w:rsidR="00546692">
        <w:t xml:space="preserve"> and reduced mortality</w:t>
      </w:r>
      <w:r>
        <w:t xml:space="preserve"> </w:t>
      </w:r>
      <w:r w:rsidR="00192E57">
        <w:t xml:space="preserve">(Arriola et al 2015, Izurieta et al 2015, </w:t>
      </w:r>
      <w:r w:rsidR="00546692">
        <w:t>Pop-Vicas et al 2015</w:t>
      </w:r>
      <w:r w:rsidR="003F2429">
        <w:t>, Simpson 2013</w:t>
      </w:r>
      <w:r w:rsidR="00546692">
        <w:t xml:space="preserve">). </w:t>
      </w:r>
      <w:r w:rsidR="00C24F38">
        <w:t>High-dose vaccinations are associated with greater vaccine effectiveness (VE) as compared to standard-dose, as measured by reduced influenza-related hospital admissions among vaccine recipients (Izurieta 2015).</w:t>
      </w:r>
      <w:r w:rsidR="00056BEA" w:rsidRPr="00056BEA">
        <w:t xml:space="preserve"> </w:t>
      </w:r>
      <w:r w:rsidR="00056BEA">
        <w:t>The variability in seasonal influenza strain match rate also has implications for VE, as a higher match rate leads to a greater reduction in P&amp;I hospitalizations and mortality (Pop-Vicas et al 2015).</w:t>
      </w:r>
      <w:r w:rsidR="00C24F38">
        <w:t xml:space="preserve"> </w:t>
      </w:r>
      <w:r w:rsidR="005827B0">
        <w:t>Vaccine effectiveness</w:t>
      </w:r>
      <w:r w:rsidR="00C24F38">
        <w:t xml:space="preserve"> (VE)</w:t>
      </w:r>
      <w:r w:rsidR="005827B0">
        <w:t xml:space="preserve"> has </w:t>
      </w:r>
      <w:r w:rsidR="00C24F38">
        <w:t xml:space="preserve">also </w:t>
      </w:r>
      <w:r w:rsidR="005827B0">
        <w:t xml:space="preserve">been shown to vary </w:t>
      </w:r>
      <w:r w:rsidR="00056BEA">
        <w:t xml:space="preserve">corresponding to variation in </w:t>
      </w:r>
      <w:r w:rsidR="005827B0">
        <w:t xml:space="preserve">underlying health status and age-related effects </w:t>
      </w:r>
      <w:r w:rsidR="00056BEA">
        <w:t>among</w:t>
      </w:r>
      <w:r w:rsidR="005827B0">
        <w:t xml:space="preserve"> elderly</w:t>
      </w:r>
      <w:r w:rsidR="00056BEA">
        <w:t xml:space="preserve"> individuals, such as</w:t>
      </w:r>
      <w:r w:rsidR="005827B0">
        <w:t xml:space="preserve"> co-morbidities and reduced immune function (Fulop 2009, Jackson et al 2006). </w:t>
      </w:r>
    </w:p>
    <w:p w14:paraId="510F7EED" w14:textId="3CAB67D9" w:rsidR="00C24F38" w:rsidRDefault="00D86823" w:rsidP="003548EA">
      <w:pPr>
        <w:pStyle w:val="Response"/>
        <w:ind w:left="0" w:firstLine="0"/>
      </w:pPr>
      <w:r>
        <w:t>Studies indicate</w:t>
      </w:r>
      <w:r w:rsidR="008E40F3">
        <w:t xml:space="preserve"> there is variation in influenza vaccination uptake according to personal characteristics such as age (Simpson et al 2013) and </w:t>
      </w:r>
      <w:r w:rsidR="00B12882">
        <w:t xml:space="preserve">relative </w:t>
      </w:r>
      <w:r w:rsidR="008E40F3">
        <w:t>health status among the elderly (Jackson et al 2006). While there is limited evidence regarding the extent to which personal characterist</w:t>
      </w:r>
      <w:r w:rsidR="00056BEA">
        <w:t>ics, perceived risk, and</w:t>
      </w:r>
      <w:r w:rsidR="008E40F3">
        <w:t xml:space="preserve"> attitudes towards vaccines affect </w:t>
      </w:r>
      <w:r w:rsidR="00AF0B50">
        <w:t xml:space="preserve">disparities in </w:t>
      </w:r>
      <w:r w:rsidR="008E40F3">
        <w:t xml:space="preserve">receipt rates, there is </w:t>
      </w:r>
      <w:r w:rsidR="00AF0B50">
        <w:t>evidence that facility-level characteristics contribute to racial inequities (Logan 2009, Bardenheier et al 201</w:t>
      </w:r>
      <w:r>
        <w:t>2</w:t>
      </w:r>
      <w:r w:rsidR="000174BE">
        <w:t>, Bardenheier et al 2009</w:t>
      </w:r>
      <w:r w:rsidR="00AF0B50">
        <w:t xml:space="preserve">). </w:t>
      </w:r>
      <w:r>
        <w:t>Nursing homes with a higher proportion of black residents was associated with lower influenza vaccination receipt rates, among</w:t>
      </w:r>
      <w:r w:rsidR="00056BEA">
        <w:t xml:space="preserve"> both black and white residents. This finding suggests that culturally appropriate interventions at the facility level and individual level may increase influenza vaccine receipt rates overall, while serving to reduce racial inequities (Bardenheier et al 2012, Logan 2009). </w:t>
      </w:r>
    </w:p>
    <w:p w14:paraId="0F9B6F78" w14:textId="1D2FD2F7" w:rsidR="0077610F" w:rsidRDefault="00961DA9" w:rsidP="0077610F">
      <w:pPr>
        <w:pStyle w:val="Response"/>
      </w:pPr>
      <w:r>
        <w:t>1.</w:t>
      </w:r>
      <w:r>
        <w:tab/>
      </w:r>
      <w:r w:rsidR="0077610F" w:rsidRPr="00503834">
        <w:t>A</w:t>
      </w:r>
      <w:r w:rsidR="0077610F" w:rsidRPr="006402D8">
        <w:rPr>
          <w:rFonts w:ascii="Calibri" w:hAnsi="Calibri"/>
          <w:noProof/>
        </w:rPr>
        <w:t>rriola, C. S. A., Anderson, E. J., Baumbach, J., Bennett, N., Bohm, S., Hill, M.,</w:t>
      </w:r>
      <w:r w:rsidR="0077610F">
        <w:t xml:space="preserve"> </w:t>
      </w:r>
      <w:r w:rsidR="004517E9">
        <w:t xml:space="preserve">and </w:t>
      </w:r>
      <w:r w:rsidR="0077610F" w:rsidRPr="00503834">
        <w:t>Chaves, S</w:t>
      </w:r>
      <w:r w:rsidR="0077610F">
        <w:t xml:space="preserve">. </w:t>
      </w:r>
      <w:r w:rsidR="0077610F" w:rsidRPr="00503834">
        <w:t>S. (2015). Does influenza vaccination modify influenza severity? Data on older adults hospitalized with influenza during the 2012</w:t>
      </w:r>
      <w:r w:rsidR="0077610F">
        <w:t>–</w:t>
      </w:r>
      <w:r w:rsidR="0077610F" w:rsidRPr="00503834">
        <w:t xml:space="preserve">2013 season in the United States. </w:t>
      </w:r>
      <w:r w:rsidR="0077610F" w:rsidRPr="006402D8">
        <w:rPr>
          <w:i/>
        </w:rPr>
        <w:t>Journal of Infectious Diseases</w:t>
      </w:r>
      <w:r w:rsidR="0077610F" w:rsidRPr="00503834">
        <w:t xml:space="preserve">, </w:t>
      </w:r>
      <w:r w:rsidR="0077610F" w:rsidRPr="006402D8">
        <w:rPr>
          <w:rFonts w:ascii="Calibri" w:hAnsi="Calibri"/>
          <w:i/>
          <w:noProof/>
        </w:rPr>
        <w:t>212</w:t>
      </w:r>
      <w:r w:rsidR="0077610F" w:rsidRPr="006402D8">
        <w:rPr>
          <w:rFonts w:ascii="Calibri" w:hAnsi="Calibri"/>
          <w:noProof/>
        </w:rPr>
        <w:t>(8), 1200–1208. doi:10.1093/infdis/jiv200</w:t>
      </w:r>
    </w:p>
    <w:p w14:paraId="590FF7CE" w14:textId="77777777" w:rsidR="0077610F" w:rsidRDefault="0077610F" w:rsidP="0077610F">
      <w:pPr>
        <w:pStyle w:val="Response"/>
        <w:ind w:left="0" w:firstLine="0"/>
      </w:pPr>
      <w:r>
        <w:t>BACKGROUND: Some studies suggest that influenza vaccination might be protective against severe influenza outcomes in vaccinated persons who become infected. We used data from a large surveillance network to further investigate the effect of influenza vaccination on influenza severity in adults aged ≥50 years who were hospitalized with laboratory-confirmed influenza.</w:t>
      </w:r>
    </w:p>
    <w:p w14:paraId="54A26FED" w14:textId="77777777" w:rsidR="0077610F" w:rsidRDefault="0077610F" w:rsidP="0077610F">
      <w:pPr>
        <w:pStyle w:val="Response"/>
        <w:ind w:left="0" w:firstLine="0"/>
      </w:pPr>
      <w:r>
        <w:t>METHODS: We analyzed influenza vaccination and influenza severity using Influenza Hospitalization Surveillance Network (FluSurv-NET) data for the 2012-2013 influenza season. Intensive care unit (ICU) admission, death, diagnosis of pneumonia, and hospital and ICU lengths of stay served as measures of disease severity. Data were analyzed by multivariable logistic regression, parametric survival models, and propensity score matching (PSM).</w:t>
      </w:r>
    </w:p>
    <w:p w14:paraId="76ACCBFC" w14:textId="77777777" w:rsidR="0077610F" w:rsidRDefault="0077610F" w:rsidP="0077610F">
      <w:pPr>
        <w:pStyle w:val="Response"/>
        <w:ind w:left="0" w:firstLine="0"/>
      </w:pPr>
      <w:r>
        <w:t>RESULTS: Overall, no differences in severity were observed in the multivariable logistic regression model. Using PSM, adults aged 50-64 years (but not other age groups) who were vaccinated against influenza had a shorter length of ICU stay than those who were unvaccinated (hazard ratio for discharge, 1.84; 95% confidence interval, 1.12-3.01).</w:t>
      </w:r>
    </w:p>
    <w:p w14:paraId="5E1A6A2C" w14:textId="77777777" w:rsidR="0077610F" w:rsidRDefault="0077610F" w:rsidP="0077610F">
      <w:pPr>
        <w:pStyle w:val="Response"/>
        <w:ind w:left="0" w:firstLine="0"/>
      </w:pPr>
      <w:r>
        <w:t>CONCLUSIONS: Our findings show a modest effect of influenza vaccination on disease severity. Analysis of data from seasons with different predominant strains and higher estimates of vaccine effectiveness are needed.</w:t>
      </w:r>
    </w:p>
    <w:p w14:paraId="60A4A082" w14:textId="77777777" w:rsidR="000174BE" w:rsidRDefault="000174BE" w:rsidP="000174BE">
      <w:pPr>
        <w:pStyle w:val="Response"/>
      </w:pPr>
      <w:r>
        <w:t>2.</w:t>
      </w:r>
      <w:r>
        <w:tab/>
      </w:r>
      <w:r w:rsidRPr="00FD6C7C">
        <w:t xml:space="preserve">Bardenheier, B., Wortley, P., Shefer, A., McCauley, M. M., </w:t>
      </w:r>
      <w:r>
        <w:t>and</w:t>
      </w:r>
      <w:r w:rsidRPr="00FD6C7C">
        <w:t xml:space="preserve"> Gravenstein, S. (2012). Racial inequities in receipt of influenza vaccination among nursing home residents in the United States, 2008-2009: A pattern of low overall coverage in facilities in which most residents are black. </w:t>
      </w:r>
      <w:r w:rsidRPr="00FD6C7C">
        <w:rPr>
          <w:i/>
        </w:rPr>
        <w:t>Journal of the American Medical Directors Association</w:t>
      </w:r>
      <w:r w:rsidRPr="00FD6C7C">
        <w:t>,</w:t>
      </w:r>
      <w:r w:rsidRPr="004517E9">
        <w:rPr>
          <w:i/>
        </w:rPr>
        <w:t xml:space="preserve"> 13</w:t>
      </w:r>
      <w:r w:rsidRPr="00FD6C7C">
        <w:t>(5), 470–476. doi:10.1016/j.jamda.2012.02.001</w:t>
      </w:r>
    </w:p>
    <w:p w14:paraId="26AE82C8" w14:textId="77777777" w:rsidR="000174BE" w:rsidRDefault="000174BE" w:rsidP="000174BE">
      <w:pPr>
        <w:pStyle w:val="Response"/>
        <w:ind w:left="0" w:firstLine="0"/>
      </w:pPr>
      <w:r>
        <w:t>OBJECTIVES: Nationwide among nursing home residents, receipt of the influenza vaccine is 8 to 9 percentage points lower among blacks than among whites. The objective of this study was to determine if the national inequity in vaccination is because of the characteristics of facilities and/or residents.</w:t>
      </w:r>
    </w:p>
    <w:p w14:paraId="0FDBE72F" w14:textId="77777777" w:rsidR="000174BE" w:rsidRDefault="000174BE" w:rsidP="000174BE">
      <w:pPr>
        <w:pStyle w:val="Response"/>
        <w:ind w:left="0" w:firstLine="0"/>
      </w:pPr>
      <w:r>
        <w:t>DESIGN: Cross-sectional study with multilevel modeling.</w:t>
      </w:r>
    </w:p>
    <w:p w14:paraId="0240B638" w14:textId="77777777" w:rsidR="000174BE" w:rsidRDefault="000174BE" w:rsidP="000174BE">
      <w:pPr>
        <w:pStyle w:val="Response"/>
        <w:ind w:left="0" w:firstLine="0"/>
      </w:pPr>
      <w:r>
        <w:t>SETTING AND PARTICIPANTS: States in which 1% or more of nursing home residents were black and the difference in influenza vaccination coverage between white and black nursing home residents was 1 percentage point or higher (n = 39 states and the District of Columbia). Data on residents (n = 2,359,321) were obtained from the Centers for Medicare &amp; Medicaid Service's Minimum Data Set for October 1, 2008, through March 31, 2009.</w:t>
      </w:r>
    </w:p>
    <w:p w14:paraId="079B220B" w14:textId="77777777" w:rsidR="000174BE" w:rsidRDefault="000174BE" w:rsidP="000174BE">
      <w:pPr>
        <w:pStyle w:val="Response"/>
        <w:ind w:left="0" w:firstLine="0"/>
      </w:pPr>
      <w:r>
        <w:t>MEASUREMENTS: Residents' influenza vaccination status (vaccinated, refused vaccine, or not offered).</w:t>
      </w:r>
    </w:p>
    <w:p w14:paraId="6575AD1A" w14:textId="77777777" w:rsidR="000174BE" w:rsidRDefault="000174BE" w:rsidP="000174BE">
      <w:pPr>
        <w:pStyle w:val="Response"/>
        <w:ind w:left="0" w:firstLine="0"/>
      </w:pPr>
      <w:r>
        <w:t>RESULTS: States with higher overall influenza vaccination coverage among nursing home residents had smaller racial inequities. In nursing homes with higher proportions of black residents, vaccination coverage was lower for both blacks and whites. The most dramatic inequities existed between whites in nursing homes with 0% blacks (L1) and blacks in nursing homes with 50% or more blacks (L5) in states with overall racial inequities of 10 percentage points or more. In these states, more black nursing home residents lived in nursing homes with 50% or more blacks (L5); in general, the same homes with low overall coverage.</w:t>
      </w:r>
    </w:p>
    <w:p w14:paraId="6E7EBC9D" w14:textId="77777777" w:rsidR="000174BE" w:rsidRDefault="000174BE" w:rsidP="000174BE">
      <w:pPr>
        <w:pStyle w:val="Response"/>
        <w:ind w:left="0" w:firstLine="0"/>
      </w:pPr>
      <w:r>
        <w:t>CONCLUSION: Inequities in influenza vaccination coverage among nursing home residents are largely because of low vaccination coverage in nursing homes with a high proportion of black residents. Findings indicate that implementation of culturally appropriate interventions to increase vaccination in facilities with larger proportions of black residents may reduce the racial gap in influenza vaccination as well as increase overall state-level vaccination.</w:t>
      </w:r>
    </w:p>
    <w:p w14:paraId="0F16BF76" w14:textId="77777777" w:rsidR="000174BE" w:rsidRDefault="000174BE" w:rsidP="000174BE">
      <w:pPr>
        <w:pStyle w:val="Response"/>
        <w:numPr>
          <w:ilvl w:val="0"/>
          <w:numId w:val="34"/>
        </w:numPr>
      </w:pPr>
      <w:r>
        <w:t>Bardenheier, B.H., Wortley, P., Ahmed, F., Hales, C., and Shefer, A. (2009) Influenza immunization coverage among residents of long-term care facilities certified by CMS, 2005-2006: the newest MDs quality indicator.</w:t>
      </w:r>
      <w:r w:rsidRPr="00EA014F">
        <w:t xml:space="preserve"> </w:t>
      </w:r>
      <w:r>
        <w:t xml:space="preserve"> </w:t>
      </w:r>
      <w:r w:rsidRPr="00F50019">
        <w:rPr>
          <w:i/>
        </w:rPr>
        <w:t>J Am Med Dir Assoc</w:t>
      </w:r>
      <w:r w:rsidRPr="00EA014F">
        <w:t xml:space="preserve">, </w:t>
      </w:r>
      <w:r>
        <w:t>11(1):59-69. doi: 10.1016/j.jamda.2009.09.011. Epub</w:t>
      </w:r>
    </w:p>
    <w:p w14:paraId="76BBBF0C" w14:textId="77777777" w:rsidR="000174BE" w:rsidRDefault="000174BE" w:rsidP="000174BE">
      <w:pPr>
        <w:pStyle w:val="Response"/>
        <w:ind w:left="0" w:firstLine="0"/>
      </w:pPr>
      <w:r>
        <w:t>BACKGROUND: In October 2005, the Centers for Medicare and Medicaid Services (CMS) required that long-term care (LTC) facilities certified by CMS offer each resident annual influenza vaccination. Subsequently, vaccination status was added to resident assessments collected beginning in the influenza season, 2005-2006. This is the first year immunization coverage can be reported based on a census of LTC residents.</w:t>
      </w:r>
    </w:p>
    <w:p w14:paraId="1B9D1D82" w14:textId="77777777" w:rsidR="000174BE" w:rsidRDefault="000174BE" w:rsidP="000174BE">
      <w:pPr>
        <w:pStyle w:val="Response"/>
        <w:ind w:left="0" w:firstLine="0"/>
      </w:pPr>
      <w:r>
        <w:t>OBJECTIVES: Report influenza immunization coverage for LTC residents by state, resident, and facility characteristics. Identify uses of the data and areas in need of improvement.</w:t>
      </w:r>
    </w:p>
    <w:p w14:paraId="7581B84C" w14:textId="77777777" w:rsidR="000174BE" w:rsidRDefault="000174BE" w:rsidP="000174BE">
      <w:pPr>
        <w:pStyle w:val="Response"/>
        <w:ind w:left="0" w:firstLine="0"/>
      </w:pPr>
      <w:r>
        <w:t>METHODS: Analysis of CMS' Minimum Data Set of 1,851,676 residents in nursing homes from October 1 through December 31 but who could have been discharged between January 1 and March 31 merged with data for 14,493 non-hospital-based facilities from the Online Survey and Certification Assessment Reporting System.</w:t>
      </w:r>
    </w:p>
    <w:p w14:paraId="0C884508" w14:textId="77777777" w:rsidR="000174BE" w:rsidRDefault="000174BE" w:rsidP="000174BE">
      <w:pPr>
        <w:pStyle w:val="Response"/>
        <w:ind w:left="0" w:firstLine="0"/>
      </w:pPr>
      <w:r>
        <w:t>RESULTS: Overall, 83% of residents were offered the vaccine and 72% had received the vaccine. Almost 10% refused to receive the vaccine, 14% were not offered the vaccine, 1% were ineligible, and 3% were missing vaccination status. Vaccination coverage varied significantly among states (range: 49% to 87%). Fewer African Americans and Hispanics than whites were offered the vaccine (79% and 79% versus 84%, respectively) and received it (65% and 66% versus 73%, respectively); more African Americans refused the vaccine (12%) than residents of other races and/or ethnicities. Residents of Medicaid-certified-only facilities had higher levels of vaccination than residents of other facilities (82% versus &lt; or =73%).</w:t>
      </w:r>
    </w:p>
    <w:p w14:paraId="62CCFC7A" w14:textId="77777777" w:rsidR="000174BE" w:rsidRPr="001B772D" w:rsidRDefault="000174BE" w:rsidP="000174BE">
      <w:pPr>
        <w:pStyle w:val="Response"/>
        <w:ind w:left="0" w:firstLine="0"/>
      </w:pPr>
      <w:r>
        <w:t>CONCLUSION: MDS immunization data can be used as surveillance to work with states to improve coverage. Further research to examine racial disparities in vaccination among LTC residents is needed.</w:t>
      </w:r>
    </w:p>
    <w:p w14:paraId="6CFEB37A" w14:textId="77777777" w:rsidR="000174BE" w:rsidRPr="00EA014F" w:rsidRDefault="000174BE" w:rsidP="000174BE">
      <w:pPr>
        <w:pStyle w:val="ListParagraph"/>
        <w:numPr>
          <w:ilvl w:val="0"/>
          <w:numId w:val="34"/>
        </w:numPr>
        <w:shd w:val="clear" w:color="auto" w:fill="FFFFFF"/>
        <w:spacing w:before="240" w:after="240" w:line="240" w:lineRule="auto"/>
        <w:rPr>
          <w:color w:val="0000FF"/>
        </w:rPr>
      </w:pPr>
      <w:r w:rsidRPr="00EA014F">
        <w:rPr>
          <w:color w:val="0000FF"/>
        </w:rPr>
        <w:t>Fulop, T., Pawelec, G., Castle, S., and Loeb, M. (2009) Immunosenescence and Vaccination in Nursing</w:t>
      </w:r>
      <w:r>
        <w:rPr>
          <w:color w:val="0000FF"/>
        </w:rPr>
        <w:t xml:space="preserve"> </w:t>
      </w:r>
      <w:r w:rsidRPr="00EA014F">
        <w:rPr>
          <w:color w:val="0000FF"/>
        </w:rPr>
        <w:t xml:space="preserve">Home Residents. </w:t>
      </w:r>
      <w:r w:rsidRPr="00EA014F">
        <w:rPr>
          <w:i/>
          <w:color w:val="0000FF"/>
        </w:rPr>
        <w:t>Aging and Infectious Diseases</w:t>
      </w:r>
      <w:r w:rsidRPr="00EA014F">
        <w:rPr>
          <w:color w:val="0000FF"/>
        </w:rPr>
        <w:t>, (48), 443-8. doi: 10.1086/596475.</w:t>
      </w:r>
    </w:p>
    <w:p w14:paraId="02384363" w14:textId="77777777" w:rsidR="000174BE" w:rsidRPr="00C407A2" w:rsidRDefault="000174BE" w:rsidP="000174BE">
      <w:pPr>
        <w:shd w:val="clear" w:color="auto" w:fill="FFFFFF"/>
        <w:spacing w:before="240" w:after="240"/>
        <w:ind w:left="0" w:firstLine="0"/>
        <w:rPr>
          <w:rFonts w:cstheme="minorHAnsi"/>
          <w:color w:val="0000FF"/>
        </w:rPr>
      </w:pPr>
      <w:r w:rsidRPr="00C407A2">
        <w:rPr>
          <w:rFonts w:cstheme="minorHAnsi"/>
          <w:color w:val="0000FF"/>
        </w:rPr>
        <w:t>The elderly population continues to increase in most countries. Concomitantly, the number of</w:t>
      </w:r>
      <w:r>
        <w:rPr>
          <w:rFonts w:cstheme="minorHAnsi"/>
          <w:color w:val="0000FF"/>
        </w:rPr>
        <w:t xml:space="preserve"> </w:t>
      </w:r>
      <w:r w:rsidRPr="00C407A2">
        <w:rPr>
          <w:rFonts w:cstheme="minorHAnsi"/>
          <w:color w:val="0000FF"/>
        </w:rPr>
        <w:t>individuals who are institutionalized is also increasing, unfortunately, with more and more individuals being institutionalized at greater ages. These elderly individuals are very different from healthy, community-dwelling elderly individuals, in that many are considered to be frail and have various chronic diseases. It is apparent that the immune response diminishes even in healthy elderly people and that the pathologies that occur in nursing home patients, together with malnutrition, further impair immunity required for an effective vaccine response. Therefore, it is important to take secondary age-related effects, attributable to factors such as chronic diseases, inflammation, frailty, nutrition, functional status, and stress, into account when assessing vaccination strategies. Despite these alterations that can affect immune function and their potential interaction with vaccination, vaccination</w:t>
      </w:r>
      <w:r>
        <w:rPr>
          <w:rFonts w:cstheme="minorHAnsi"/>
          <w:color w:val="0000FF"/>
        </w:rPr>
        <w:t xml:space="preserve"> </w:t>
      </w:r>
      <w:r w:rsidRPr="00C407A2">
        <w:rPr>
          <w:rFonts w:cstheme="minorHAnsi"/>
          <w:color w:val="0000FF"/>
        </w:rPr>
        <w:t>is still worthwhile and is recommended for elderly nursing home residents. Research efforts should continue attempts to elucidate the immunological basis of impaired immunity in nursing home residents to design improved prevention strategies for this vulnerable group.</w:t>
      </w:r>
    </w:p>
    <w:p w14:paraId="437DEE61" w14:textId="77777777" w:rsidR="000174BE" w:rsidRDefault="000174BE" w:rsidP="000174BE">
      <w:pPr>
        <w:pStyle w:val="Response"/>
        <w:numPr>
          <w:ilvl w:val="0"/>
          <w:numId w:val="34"/>
        </w:numPr>
      </w:pPr>
      <w:r w:rsidRPr="006402D8">
        <w:t>Izurieta, H. S., Thadani, N., Shay, D. K., Lu, Y., Maurer, A., Foppa, I. M.,</w:t>
      </w:r>
      <w:r>
        <w:t xml:space="preserve"> and </w:t>
      </w:r>
      <w:hyperlink r:id="rId28" w:history="1">
        <w:r w:rsidRPr="0051304C">
          <w:t>Kelman</w:t>
        </w:r>
        <w:r>
          <w:t>,</w:t>
        </w:r>
        <w:r w:rsidRPr="0051304C">
          <w:t xml:space="preserve"> J</w:t>
        </w:r>
      </w:hyperlink>
      <w:r w:rsidRPr="0051304C">
        <w:t>.</w:t>
      </w:r>
      <w:r w:rsidRPr="00EA440A" w:rsidDel="008139D0">
        <w:t xml:space="preserve"> </w:t>
      </w:r>
      <w:r>
        <w:t xml:space="preserve">(2015). Comparative </w:t>
      </w:r>
      <w:r w:rsidRPr="0051304C">
        <w:t>effectiveness of high-dose versus standard-dose influenza vaccines in US residents aged 65 years and older from 201</w:t>
      </w:r>
      <w:r>
        <w:t>2 to 2013 using Medicare data: A</w:t>
      </w:r>
      <w:r w:rsidRPr="0051304C">
        <w:t xml:space="preserve"> retrospective cohort analysis. </w:t>
      </w:r>
      <w:r w:rsidRPr="000D6A72">
        <w:rPr>
          <w:i/>
        </w:rPr>
        <w:t>The Lancet Infectious Diseases</w:t>
      </w:r>
      <w:r w:rsidRPr="006402D8">
        <w:t xml:space="preserve">, </w:t>
      </w:r>
      <w:r w:rsidRPr="004517E9">
        <w:rPr>
          <w:i/>
        </w:rPr>
        <w:t>15</w:t>
      </w:r>
      <w:r w:rsidRPr="006402D8">
        <w:t>(3), 293–300. doi:10.1016/S1473-3099(14)71087-4</w:t>
      </w:r>
    </w:p>
    <w:p w14:paraId="512EC8AB" w14:textId="77777777" w:rsidR="000174BE" w:rsidRDefault="000174BE" w:rsidP="000174BE">
      <w:pPr>
        <w:pStyle w:val="Response"/>
        <w:ind w:left="0" w:firstLine="0"/>
      </w:pPr>
      <w:r>
        <w:t>BACKGROUND: A high-dose trivalent inactivated influenza vaccine was licensed in 2009 by the US Food and Drug Administration (FDA) on the basis of serological criteria. We sought to establish whether high-dose inactivated influenza vaccine was more effective for prevention of influenza-related visits and hospital admissions in US Medicare beneficiaries than was standard-dose inactivated influenza vaccine.</w:t>
      </w:r>
    </w:p>
    <w:p w14:paraId="0AD53944" w14:textId="77777777" w:rsidR="000174BE" w:rsidRDefault="000174BE" w:rsidP="000174BE">
      <w:pPr>
        <w:pStyle w:val="Response"/>
        <w:ind w:left="0" w:firstLine="0"/>
      </w:pPr>
      <w:r>
        <w:t>METHODS: In this retrospective cohort study, we identified Medicare beneficiaries aged 65 years and older who received high-dose or standard-dose inactivated influenza vaccines from community pharmacies that offered both vaccines during the 2012-13 influenza season. Outcomes were defined with billing codes on Medicare claims. The primary outcome was probable influenza infection, defined by receipt of a rapid influenza test followed by dispensing of the neuraminidase inhibitor oseltamivir. The secondary outcome was a hospital or emergency department visit, listing a Medicare billing code for influenza. We estimated relative vaccine effectiveness by comparing outcome rates in Medicare beneficiaries during periods of high influenza circulation. Univariate and multivariate Poisson regression models were used for analyses.</w:t>
      </w:r>
    </w:p>
    <w:p w14:paraId="3102A3D2" w14:textId="77777777" w:rsidR="000174BE" w:rsidRDefault="000174BE" w:rsidP="000174BE">
      <w:pPr>
        <w:pStyle w:val="Response"/>
        <w:ind w:left="0" w:firstLine="0"/>
      </w:pPr>
      <w:r>
        <w:t>FINDINGS: Between Aug 1, 2012 and Jan 31, 2013, we studied 929,730 recipients of high-dose vaccine and 1,615,545 recipients of standard-dose vaccine. Participants enrolled in each cohort were well balanced with respect to age and presence of underlying medical disorders. The high-dose vaccine (1·30 outcomes per 10,000 person-weeks) was 22% (95% CI 15-29) more effective than the standard-dose vaccine (1·01 outcomes per 10,000 person-weeks) for prevention of probable influenza infections (rapid influenza test followed by oseltamivir treatment) and 22% (95% CI 16-27%) more effective for prevention of influenza hospital admissions (0·86 outcomes per 10,000 person-weeks in the high-dose cohort vs 1·10 outcomes per 10,000 person-weeks in the standard-dose cohort).</w:t>
      </w:r>
    </w:p>
    <w:p w14:paraId="4D537905" w14:textId="77777777" w:rsidR="000174BE" w:rsidRDefault="000174BE" w:rsidP="000174BE">
      <w:pPr>
        <w:pStyle w:val="Response"/>
        <w:ind w:left="0" w:firstLine="0"/>
      </w:pPr>
      <w:r>
        <w:t>INTERPRETATION: Our retrospective cohort study in US Medicare beneficiaries shows that, in people 65 years of age and older, high-dose inactivated influenza vaccine was significantly more effective than standard-dose vaccine in prevention of influenza-related medical encounters. Additionally, the large population in our study enabled us to show, for the first time, a significant reduction in influenza-related hospital admissions in high-dose compared to standard-dose vaccine recipients, an outcome not shown in randomized studies. These results provide important new information to be considered by policy makers recommending influenza vaccinations for elderly people.</w:t>
      </w:r>
    </w:p>
    <w:p w14:paraId="16568478" w14:textId="77777777" w:rsidR="000174BE" w:rsidRPr="005A3D08" w:rsidRDefault="000174BE" w:rsidP="000174BE">
      <w:pPr>
        <w:pStyle w:val="Response"/>
        <w:numPr>
          <w:ilvl w:val="0"/>
          <w:numId w:val="34"/>
        </w:numPr>
      </w:pPr>
      <w:r w:rsidRPr="005A3D08">
        <w:t xml:space="preserve">Jackson, L., Jackson, M., Nelson, J., Neuzil, K., and Weiss, N. (2006). Evidence of bias in estimates of influenza vaccine effectiveness in seniors. International Journal of Epidemiology, 35(2), 337-44. </w:t>
      </w:r>
    </w:p>
    <w:p w14:paraId="1024A64B" w14:textId="77777777" w:rsidR="000174BE" w:rsidRPr="00F50019" w:rsidRDefault="000174BE" w:rsidP="000174BE">
      <w:pPr>
        <w:pStyle w:val="Response"/>
        <w:ind w:left="0" w:firstLine="0"/>
      </w:pPr>
      <w:r w:rsidRPr="00F50019">
        <w:t>BACKGROUND: Numerous observational studies have reported that seniors who receive influenza</w:t>
      </w:r>
      <w:r>
        <w:t xml:space="preserve"> </w:t>
      </w:r>
      <w:r w:rsidRPr="00F50019">
        <w:t>vaccine are at substantially lower risk of death and hospitalization during the influenza season than unvaccinated seniors. These estimates could be influenced by differences in underlying health status between the vaccinated and unvaccinated groups. Since a protective effect of vaccination should be</w:t>
      </w:r>
      <w:r>
        <w:t xml:space="preserve"> </w:t>
      </w:r>
      <w:r w:rsidRPr="00F50019">
        <w:t>specific to influenza season, evaluation of non-influenza periods could indicate the possible contribution</w:t>
      </w:r>
      <w:r>
        <w:t xml:space="preserve"> </w:t>
      </w:r>
      <w:r w:rsidRPr="00F50019">
        <w:t>of bias to the estimates observed during influenza season.</w:t>
      </w:r>
    </w:p>
    <w:p w14:paraId="690C55A6" w14:textId="77777777" w:rsidR="000174BE" w:rsidRPr="000D6A72" w:rsidRDefault="000174BE" w:rsidP="000174BE">
      <w:pPr>
        <w:shd w:val="clear" w:color="auto" w:fill="FFFFFF"/>
        <w:spacing w:before="240" w:after="240"/>
        <w:ind w:left="0" w:firstLine="0"/>
        <w:rPr>
          <w:rFonts w:eastAsia="Times New Roman" w:cs="Arial"/>
          <w:color w:val="0000FF"/>
        </w:rPr>
      </w:pPr>
      <w:r w:rsidRPr="000D6A72">
        <w:rPr>
          <w:rFonts w:eastAsia="Times New Roman" w:cs="Arial"/>
          <w:color w:val="0000FF"/>
        </w:rPr>
        <w:t>METHODS: We evaluated a cohort of 72,527 persons 65 years of age and older followed during an 8 year</w:t>
      </w:r>
      <w:r>
        <w:rPr>
          <w:rFonts w:eastAsia="Times New Roman" w:cs="Arial"/>
          <w:color w:val="0000FF"/>
        </w:rPr>
        <w:t xml:space="preserve"> </w:t>
      </w:r>
      <w:r w:rsidRPr="000D6A72">
        <w:rPr>
          <w:rFonts w:eastAsia="Times New Roman" w:cs="Arial"/>
          <w:color w:val="0000FF"/>
        </w:rPr>
        <w:t>period and assessed the risk of death from any cause, or hospitalization for pneumonia or influenza, in</w:t>
      </w:r>
      <w:r>
        <w:rPr>
          <w:rFonts w:eastAsia="Times New Roman" w:cs="Arial"/>
          <w:color w:val="0000FF"/>
        </w:rPr>
        <w:t xml:space="preserve"> </w:t>
      </w:r>
      <w:r w:rsidRPr="000D6A72">
        <w:rPr>
          <w:rFonts w:eastAsia="Times New Roman" w:cs="Arial"/>
          <w:color w:val="0000FF"/>
        </w:rPr>
        <w:t>relation to influenza vaccination, in periods before, during, and after influenza seasons. Secondary</w:t>
      </w:r>
      <w:r>
        <w:rPr>
          <w:rFonts w:eastAsia="Times New Roman" w:cs="Arial"/>
          <w:color w:val="0000FF"/>
        </w:rPr>
        <w:t xml:space="preserve"> </w:t>
      </w:r>
      <w:r w:rsidRPr="000D6A72">
        <w:rPr>
          <w:rFonts w:eastAsia="Times New Roman" w:cs="Arial"/>
          <w:color w:val="0000FF"/>
        </w:rPr>
        <w:t>models adjusted for covariates defined primarily by diagnosis codes assigned to medical encounters.</w:t>
      </w:r>
      <w:r>
        <w:rPr>
          <w:rFonts w:eastAsia="Times New Roman" w:cs="Arial"/>
          <w:color w:val="0000FF"/>
        </w:rPr>
        <w:t xml:space="preserve"> </w:t>
      </w:r>
      <w:r w:rsidRPr="000D6A72">
        <w:rPr>
          <w:rFonts w:eastAsia="Times New Roman" w:cs="Arial"/>
          <w:color w:val="0000FF"/>
        </w:rPr>
        <w:t>RESULTS: The relative risk of death for vaccinated persons compared with unvaccinated persons was 0.39 [95% confidence interval (95% CI), 0.33-0.47] before influenza season, 0.56 (0.52-0.61) during influenza season, and 0.74 (0.67-0.80) after influenza season. The relative risk of pneumonia hospitalization was 0.72 (0.59-0.89) before, 0.82 (0.75-0.89) during, and 0.95 (0.85-1.07) after influenza season. Adjustment for diagnosis code variables resulted in estimates that were further from the null, in all time periods.</w:t>
      </w:r>
    </w:p>
    <w:p w14:paraId="193EA94F" w14:textId="77777777" w:rsidR="000174BE" w:rsidRPr="00734D2C" w:rsidRDefault="000174BE" w:rsidP="000174BE">
      <w:pPr>
        <w:shd w:val="clear" w:color="auto" w:fill="FFFFFF"/>
        <w:spacing w:before="240" w:after="240"/>
        <w:ind w:left="0" w:firstLine="0"/>
        <w:rPr>
          <w:rFonts w:eastAsia="Times New Roman" w:cs="Arial"/>
          <w:color w:val="0000FF"/>
        </w:rPr>
      </w:pPr>
      <w:r w:rsidRPr="000D6A72">
        <w:rPr>
          <w:rFonts w:eastAsia="Times New Roman" w:cs="Arial"/>
          <w:color w:val="0000FF"/>
        </w:rPr>
        <w:t>CONCLUSIONS: The reductions in risk before influenza season indicate preferential receipt of vaccine by</w:t>
      </w:r>
      <w:r>
        <w:rPr>
          <w:rFonts w:eastAsia="Times New Roman" w:cs="Arial"/>
          <w:color w:val="0000FF"/>
        </w:rPr>
        <w:t xml:space="preserve"> </w:t>
      </w:r>
      <w:r w:rsidRPr="000D6A72">
        <w:rPr>
          <w:rFonts w:eastAsia="Times New Roman" w:cs="Arial"/>
          <w:color w:val="0000FF"/>
        </w:rPr>
        <w:t>relatively healthy seniors. Adjustment for diagnosis code variables did not control for this bias. In this</w:t>
      </w:r>
      <w:r>
        <w:rPr>
          <w:rFonts w:eastAsia="Times New Roman" w:cs="Arial"/>
          <w:color w:val="0000FF"/>
        </w:rPr>
        <w:t xml:space="preserve"> </w:t>
      </w:r>
      <w:r w:rsidRPr="000D6A72">
        <w:rPr>
          <w:rFonts w:eastAsia="Times New Roman" w:cs="Arial"/>
          <w:color w:val="0000FF"/>
        </w:rPr>
        <w:t>study, the magnitude of the bias demonstrated by the associations before the influenza season was sufficient to account entirely for the associations observed during influenza season.</w:t>
      </w:r>
    </w:p>
    <w:p w14:paraId="13F1F3AC" w14:textId="77777777" w:rsidR="000174BE" w:rsidRDefault="000174BE" w:rsidP="000174BE">
      <w:pPr>
        <w:pStyle w:val="Response"/>
        <w:numPr>
          <w:ilvl w:val="0"/>
          <w:numId w:val="34"/>
        </w:numPr>
      </w:pPr>
      <w:r w:rsidRPr="00FD6C7C">
        <w:t xml:space="preserve">Logan, J. L. (2009). Disparities in influenza immunization among US adults. </w:t>
      </w:r>
      <w:r w:rsidRPr="005A3D08">
        <w:t>Journal of the National Medical Association</w:t>
      </w:r>
      <w:r w:rsidRPr="00FD6C7C">
        <w:t xml:space="preserve">, </w:t>
      </w:r>
      <w:r w:rsidRPr="005A3D08">
        <w:t>101</w:t>
      </w:r>
      <w:r w:rsidRPr="00FD6C7C">
        <w:t>(2), 161–166. doi:10.1016/S0027-9684(15)30830-0</w:t>
      </w:r>
    </w:p>
    <w:p w14:paraId="441DDB43" w14:textId="77777777" w:rsidR="000174BE" w:rsidRDefault="000174BE" w:rsidP="000174BE">
      <w:pPr>
        <w:pStyle w:val="Response"/>
        <w:ind w:left="0" w:firstLine="0"/>
      </w:pPr>
      <w:r>
        <w:t>In the United States, health disparities exist among ethnic minority groups, the uninsured, and those with other barriers to health care access. Health disparities exist for many diseases, but are especially pronounced for preventive health services and preventable diseases. Persons affected by disparities experience higher incidences of vaccine-preventable diseases, such as influenza, and are more likely to die from those diseases as well. Although influenza vaccines are relatively safe, inexpensive, and effective in reducing infection and disease complications, many groups in the United States do not yet benefit from this potentially lifesaving intervention. Possible explanations for disparities in influenza vaccination include: (1) barriers to access such as cost, insurance status, and language differences; (2) underestimation of personal risk and misunderstanding of vaccination risks; (3) mistrust toward the health care system. Proposed strategies to minimize these disparities include: (1) changes to health care system structural factors that serve as access barriers, (2) education to increase awareness and improve demand for vaccines, (3) involvement of community-based organizations to assess local needs and design responsive solutions.</w:t>
      </w:r>
    </w:p>
    <w:p w14:paraId="487161A5" w14:textId="77777777" w:rsidR="000174BE" w:rsidRDefault="000174BE" w:rsidP="000174BE">
      <w:pPr>
        <w:pStyle w:val="Response"/>
        <w:numPr>
          <w:ilvl w:val="0"/>
          <w:numId w:val="34"/>
        </w:numPr>
      </w:pPr>
      <w:r w:rsidRPr="00FD6C7C">
        <w:t xml:space="preserve">Pop-Vicas, A., Rahman, M., Gozalo, P. L., Gravenstein, S., </w:t>
      </w:r>
      <w:r>
        <w:t>and</w:t>
      </w:r>
      <w:r w:rsidRPr="00FD6C7C">
        <w:t xml:space="preserve"> Mor, V. (2015). Estimating the effect of influenza vaccination on nursing home residents’ morbidity and mortality. </w:t>
      </w:r>
      <w:r w:rsidRPr="005A3D08">
        <w:t>Journal of the American Geriatrics Society</w:t>
      </w:r>
      <w:r w:rsidRPr="00FD6C7C">
        <w:t xml:space="preserve">, </w:t>
      </w:r>
      <w:r w:rsidRPr="005A3D08">
        <w:t>63</w:t>
      </w:r>
      <w:r w:rsidRPr="00FD6C7C">
        <w:t>(9), 1798–1804. doi:10.1111/jgs.13617</w:t>
      </w:r>
    </w:p>
    <w:p w14:paraId="40BBDBA5" w14:textId="77777777" w:rsidR="000174BE" w:rsidRDefault="000174BE" w:rsidP="000174BE">
      <w:pPr>
        <w:pStyle w:val="Response"/>
        <w:ind w:left="0" w:firstLine="0"/>
      </w:pPr>
      <w:r>
        <w:t>OBJECTIVES: To estimate the effect of influenza vaccination on hospitalization and mortality in nursing home (NH) residents.</w:t>
      </w:r>
    </w:p>
    <w:p w14:paraId="01E62794" w14:textId="77777777" w:rsidR="000174BE" w:rsidRDefault="000174BE" w:rsidP="000174BE">
      <w:pPr>
        <w:pStyle w:val="Response"/>
        <w:ind w:left="0" w:firstLine="0"/>
      </w:pPr>
      <w:r>
        <w:t>DESIGN: Retrospective cohort study.</w:t>
      </w:r>
    </w:p>
    <w:p w14:paraId="75891C0C" w14:textId="77777777" w:rsidR="000174BE" w:rsidRDefault="000174BE" w:rsidP="000174BE">
      <w:pPr>
        <w:pStyle w:val="Response"/>
        <w:ind w:left="0" w:firstLine="0"/>
      </w:pPr>
      <w:r>
        <w:t>SETTING: Medicare claims data linked to NH Minimum Data Set assessments and Centers for Disease Control and Prevention (CDC) surveillance data from 122 U.S. cities.</w:t>
      </w:r>
    </w:p>
    <w:p w14:paraId="2805FCE9" w14:textId="77777777" w:rsidR="000174BE" w:rsidRDefault="000174BE" w:rsidP="000174BE">
      <w:pPr>
        <w:pStyle w:val="Response"/>
        <w:ind w:left="0" w:firstLine="0"/>
      </w:pPr>
      <w:r>
        <w:t>PARTICIPANTS: More than 1 million Medicare fee-for-service, long-stay NH residents between 2000 and 2009.</w:t>
      </w:r>
    </w:p>
    <w:p w14:paraId="08C44D7D" w14:textId="77777777" w:rsidR="000174BE" w:rsidRDefault="000174BE" w:rsidP="000174BE">
      <w:pPr>
        <w:pStyle w:val="Response"/>
        <w:ind w:left="0" w:firstLine="0"/>
      </w:pPr>
      <w:r>
        <w:t>MEASUREMENTS: Weekly facility outcome aggregates of NH resident pneumonia and influenza (P&amp;I) hospitalizations and all-cause mortality and city-level P&amp;I mortality as reported by the CDC were created. The seasonal vaccine match rate for influenza A/H1N1, A/H3N2, and B strains was calculated, and each outcome was compared in seasons of high and low match rates using facility fixed-effects regression models separately for full-year and non-summer months.</w:t>
      </w:r>
    </w:p>
    <w:p w14:paraId="6DDD7BE4" w14:textId="77777777" w:rsidR="000174BE" w:rsidRDefault="000174BE" w:rsidP="000174BE">
      <w:pPr>
        <w:pStyle w:val="Response"/>
        <w:ind w:left="0" w:firstLine="0"/>
      </w:pPr>
      <w:r>
        <w:t>RESULTS: Average weekly all-cause mortality varied across seasons from 3.74 to 4.13 per 1,000 NH residents per week, and hospitalization for P&amp;I varied from 2.05 to 2.43. Vaccine match rates were invariably high for H1N1 but variable across seasons for the other two types. The association between vaccine match and reduction in overall mortality and P&amp;I hospitalizations was strongest for A/H3N2, the influenza strain typically responsible for the most-severe influenza cases. Given the approximately 130,000 deaths and 77,000 P&amp;I hospitalizations of long-stay NH residents during the 32 non-summer weeks, the model estimated that a 50-percentage-point increase in the A/H3N2 match rate (from &lt;25% to &gt;75%) reduced long-stay NH resident deaths by 2.0% and P&amp;I hospitalizations by 4.2%.</w:t>
      </w:r>
    </w:p>
    <w:p w14:paraId="64E6BE9B" w14:textId="77777777" w:rsidR="000174BE" w:rsidRDefault="000174BE" w:rsidP="000174BE">
      <w:pPr>
        <w:pStyle w:val="Response"/>
        <w:ind w:left="0" w:firstLine="0"/>
      </w:pPr>
      <w:r>
        <w:t>CONCLUSION: Well-matched influenza vaccine prevents P&amp;I hospitalizations and mortality in NH residents.</w:t>
      </w:r>
    </w:p>
    <w:p w14:paraId="032B25FE" w14:textId="77777777" w:rsidR="000174BE" w:rsidRDefault="000174BE" w:rsidP="000174BE">
      <w:pPr>
        <w:pStyle w:val="Response"/>
        <w:numPr>
          <w:ilvl w:val="0"/>
          <w:numId w:val="34"/>
        </w:numPr>
      </w:pPr>
      <w:r w:rsidRPr="00FD6C7C">
        <w:t xml:space="preserve">Simpson, C. R., Lone, N., Kavanagh, K., Ritchie, L. D., Robertson, </w:t>
      </w:r>
      <w:r>
        <w:t xml:space="preserve">C., Sheikh, A., and McMenamin, J. </w:t>
      </w:r>
      <w:r w:rsidRPr="00FD6C7C">
        <w:t>(2013). Seasonal Influenza Vaccine Effectiveness (SIVE): An observational retrospective cohort study</w:t>
      </w:r>
      <w:r>
        <w:t>—</w:t>
      </w:r>
      <w:r w:rsidRPr="00FD6C7C">
        <w:t xml:space="preserve">exploitation of a unique community-based national-linked database to determine the effectiveness of the seasonal trivalent influenza vaccine. </w:t>
      </w:r>
      <w:r w:rsidRPr="005A3D08">
        <w:t>Health Services and Delivery Research</w:t>
      </w:r>
      <w:r w:rsidRPr="00FD6C7C">
        <w:t xml:space="preserve">, </w:t>
      </w:r>
      <w:r w:rsidRPr="005A3D08">
        <w:t>1</w:t>
      </w:r>
      <w:r w:rsidRPr="00FD6C7C">
        <w:t>(10), 64. doi:10.3310/hsdr01100</w:t>
      </w:r>
    </w:p>
    <w:p w14:paraId="295D210B" w14:textId="77777777" w:rsidR="000174BE" w:rsidRPr="001B772D" w:rsidRDefault="000174BE" w:rsidP="000174BE">
      <w:pPr>
        <w:pStyle w:val="Response"/>
        <w:ind w:left="0" w:firstLine="0"/>
      </w:pPr>
      <w:r>
        <w:t>Simpson et al. undertook a retrospective observational cohort study of the effectiveness of the trivalent inactivated influenza vaccine, using a national linkage of patient-level primary care, hospital, death certification and virological swab-linked data across nine influenza seasons (2000–9), among a nationally representative sample of the Scottish population. Influenza cases were confirmed using reverse transcription-polymerase chain (RT-PCR) reaction in a subset of the population. A propensity score model was constructed and adjusted odds ratios (ORs) were calculated to assess differences in vaccine uptake according to patient characteristics. Adjusted illness and mortality hazard ratios (HRs) were estimated from demographic and health characteristics. Vaccine effectiveness (VE) was expressed as a percentage, and represents a reduction in risk provided by the vaccine for a given outcome (e.g. lab-confirmed influenza). This was calculated as 1 − HR, where HR is that of the measured clinical outcome in vaccinated compared with unvaccinated individuals. VE, pooled across seasons and adjusting for confounders, was estimated by determining lab-confirmed influenza, influenza-related morbidity and mortality including primary care influenza-like illnesses, hospitalization and death from influenza and pneumonia. Most vaccines (93.6%) were administered to at-risk patients, with a 69.3% uptake among those aged ≥ 65 years and a 26.2% uptake among those &lt; 65 years. Vaccine effectiveness (VE) in preventing RT-PCR laboratory-confirmed influenza was 57.1% among all patients; 18.8% in patients aged ≥ 65 years and 59.6% in those aged &lt; 65 years at risk of serious complications from influenza. The vaccine was associated with a significant decrease in the risk of laboratory-confirmed influenza (particularly in at-risk patients aged &lt; 65 years) and a more modest decrease in the risk of complications arising from influenza. A limitation is that few countries have health systems that would allow for the integrated and accessible data recording that made this study possible.</w:t>
      </w:r>
    </w:p>
    <w:p w14:paraId="54ECD2F3" w14:textId="49E4913D" w:rsidR="003A202B" w:rsidRPr="001B772D" w:rsidRDefault="003A202B" w:rsidP="000174BE">
      <w:pPr>
        <w:pStyle w:val="Response"/>
      </w:pPr>
    </w:p>
    <w:sectPr w:rsidR="003A202B" w:rsidRPr="001B772D" w:rsidSect="00015304">
      <w:headerReference w:type="default" r:id="rId29"/>
      <w:footerReference w:type="default" r:id="rId30"/>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479B2" w14:textId="77777777" w:rsidR="006B497B" w:rsidRDefault="006B497B" w:rsidP="007E37A5">
      <w:r>
        <w:separator/>
      </w:r>
    </w:p>
  </w:endnote>
  <w:endnote w:type="continuationSeparator" w:id="0">
    <w:p w14:paraId="450B487D" w14:textId="77777777" w:rsidR="006B497B" w:rsidRDefault="006B497B"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dvOTb92eb7df.I">
    <w:panose1 w:val="00000000000000000000"/>
    <w:charset w:val="00"/>
    <w:family w:val="roman"/>
    <w:notTrueType/>
    <w:pitch w:val="default"/>
    <w:sig w:usb0="00000003" w:usb1="00000000" w:usb2="00000000" w:usb3="00000000" w:csb0="00000001" w:csb1="00000000"/>
  </w:font>
  <w:font w:name="AdvOT863180fb">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56417" w14:textId="77777777" w:rsidR="006B497B" w:rsidRDefault="006B497B" w:rsidP="00015304">
    <w:pPr>
      <w:pStyle w:val="Footer"/>
      <w:ind w:left="0" w:firstLine="0"/>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E7CFC">
      <w:rPr>
        <w:noProof/>
      </w:rPr>
      <w:t>19</w:t>
    </w:r>
    <w:r w:rsidRPr="00395263">
      <w:rPr>
        <w:noProof/>
      </w:rPr>
      <w:fldChar w:fldCharType="end"/>
    </w:r>
    <w:bookmarkStart w:id="11" w:name="_GoBack"/>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60F2B" w14:textId="77777777" w:rsidR="006B497B" w:rsidRDefault="006B497B" w:rsidP="007E37A5">
      <w:r>
        <w:separator/>
      </w:r>
    </w:p>
  </w:footnote>
  <w:footnote w:type="continuationSeparator" w:id="0">
    <w:p w14:paraId="5C9B75DF" w14:textId="77777777" w:rsidR="006B497B" w:rsidRDefault="006B497B"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21460" w14:textId="77777777" w:rsidR="006B497B" w:rsidRDefault="006B497B"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06E95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B96F2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F2020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F241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638EE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1E4BC6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57A716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6677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60C5C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0D0E8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050D9"/>
    <w:multiLevelType w:val="multilevel"/>
    <w:tmpl w:val="AC0CD7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DA75B7"/>
    <w:multiLevelType w:val="hybridMultilevel"/>
    <w:tmpl w:val="AFC0F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392C91"/>
    <w:multiLevelType w:val="hybridMultilevel"/>
    <w:tmpl w:val="92E27BC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7D1E56"/>
    <w:multiLevelType w:val="hybridMultilevel"/>
    <w:tmpl w:val="92FA1EAE"/>
    <w:lvl w:ilvl="0" w:tplc="836A1196">
      <w:start w:val="1"/>
      <w:numFmt w:val="bullet"/>
      <w:lvlText w:val="■"/>
      <w:lvlJc w:val="left"/>
      <w:pPr>
        <w:ind w:left="1440" w:hanging="360"/>
      </w:pPr>
      <w:rPr>
        <w:rFonts w:ascii="Arial" w:hAnsi="Arial"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065A5F"/>
    <w:multiLevelType w:val="hybridMultilevel"/>
    <w:tmpl w:val="4A982E98"/>
    <w:lvl w:ilvl="0" w:tplc="FFA4D280">
      <w:start w:val="1"/>
      <w:numFmt w:val="bullet"/>
      <w:lvlText w:val="■"/>
      <w:lvlJc w:val="left"/>
      <w:pPr>
        <w:ind w:left="1440" w:hanging="360"/>
      </w:pPr>
      <w:rPr>
        <w:rFonts w:ascii="Times New Roman" w:hAnsi="Times New Roman" w:cs="Times New Roman"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A5461"/>
    <w:multiLevelType w:val="hybridMultilevel"/>
    <w:tmpl w:val="EBD84778"/>
    <w:lvl w:ilvl="0" w:tplc="8844027E">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53E70"/>
    <w:multiLevelType w:val="hybridMultilevel"/>
    <w:tmpl w:val="6E1CAB94"/>
    <w:lvl w:ilvl="0" w:tplc="8B6C3320">
      <w:start w:val="1"/>
      <w:numFmt w:val="bullet"/>
      <w:pStyle w:val="Bullet11"/>
      <w:lvlText w:val=""/>
      <w:lvlJc w:val="left"/>
      <w:pPr>
        <w:ind w:left="360" w:hanging="360"/>
      </w:pPr>
      <w:rPr>
        <w:rFonts w:ascii="Symbol" w:hAnsi="Symbol" w:hint="default"/>
      </w:rPr>
    </w:lvl>
    <w:lvl w:ilvl="1" w:tplc="FE9AE4DE">
      <w:start w:val="1"/>
      <w:numFmt w:val="bullet"/>
      <w:pStyle w:val="Bullet2nd"/>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EA18EA"/>
    <w:multiLevelType w:val="hybridMultilevel"/>
    <w:tmpl w:val="3716B77E"/>
    <w:lvl w:ilvl="0" w:tplc="D5A22E34">
      <w:start w:val="1"/>
      <w:numFmt w:val="bullet"/>
      <w:lvlText w:val="•"/>
      <w:lvlJc w:val="left"/>
      <w:pPr>
        <w:ind w:left="1080" w:hanging="360"/>
      </w:pPr>
      <w:rPr>
        <w:rFonts w:ascii="Arial" w:hAnsi="Arial" w:cs="Calibri" w:hint="default"/>
        <w:b/>
        <w:i w:val="0"/>
        <w:color w:val="auto"/>
        <w:sz w:val="24"/>
        <w:szCs w:val="14"/>
      </w:rPr>
    </w:lvl>
    <w:lvl w:ilvl="1" w:tplc="8A6CB272" w:tentative="1">
      <w:start w:val="1"/>
      <w:numFmt w:val="bullet"/>
      <w:lvlText w:val="o"/>
      <w:lvlJc w:val="left"/>
      <w:pPr>
        <w:ind w:left="1800" w:hanging="360"/>
      </w:pPr>
      <w:rPr>
        <w:rFonts w:ascii="Courier New" w:hAnsi="Courier New" w:cs="Courier New" w:hint="default"/>
      </w:rPr>
    </w:lvl>
    <w:lvl w:ilvl="2" w:tplc="3594DEC0" w:tentative="1">
      <w:start w:val="1"/>
      <w:numFmt w:val="bullet"/>
      <w:lvlText w:val=""/>
      <w:lvlJc w:val="left"/>
      <w:pPr>
        <w:ind w:left="2520" w:hanging="360"/>
      </w:pPr>
      <w:rPr>
        <w:rFonts w:ascii="Wingdings" w:hAnsi="Wingdings" w:hint="default"/>
      </w:rPr>
    </w:lvl>
    <w:lvl w:ilvl="3" w:tplc="E6D2B24C" w:tentative="1">
      <w:start w:val="1"/>
      <w:numFmt w:val="bullet"/>
      <w:lvlText w:val=""/>
      <w:lvlJc w:val="left"/>
      <w:pPr>
        <w:ind w:left="3240" w:hanging="360"/>
      </w:pPr>
      <w:rPr>
        <w:rFonts w:ascii="Symbol" w:hAnsi="Symbol" w:hint="default"/>
      </w:rPr>
    </w:lvl>
    <w:lvl w:ilvl="4" w:tplc="AD1E02A8" w:tentative="1">
      <w:start w:val="1"/>
      <w:numFmt w:val="bullet"/>
      <w:lvlText w:val="o"/>
      <w:lvlJc w:val="left"/>
      <w:pPr>
        <w:ind w:left="3960" w:hanging="360"/>
      </w:pPr>
      <w:rPr>
        <w:rFonts w:ascii="Courier New" w:hAnsi="Courier New" w:cs="Courier New" w:hint="default"/>
      </w:rPr>
    </w:lvl>
    <w:lvl w:ilvl="5" w:tplc="38BCE4F6" w:tentative="1">
      <w:start w:val="1"/>
      <w:numFmt w:val="bullet"/>
      <w:lvlText w:val=""/>
      <w:lvlJc w:val="left"/>
      <w:pPr>
        <w:ind w:left="4680" w:hanging="360"/>
      </w:pPr>
      <w:rPr>
        <w:rFonts w:ascii="Wingdings" w:hAnsi="Wingdings" w:hint="default"/>
      </w:rPr>
    </w:lvl>
    <w:lvl w:ilvl="6" w:tplc="316A173C" w:tentative="1">
      <w:start w:val="1"/>
      <w:numFmt w:val="bullet"/>
      <w:lvlText w:val=""/>
      <w:lvlJc w:val="left"/>
      <w:pPr>
        <w:ind w:left="5400" w:hanging="360"/>
      </w:pPr>
      <w:rPr>
        <w:rFonts w:ascii="Symbol" w:hAnsi="Symbol" w:hint="default"/>
      </w:rPr>
    </w:lvl>
    <w:lvl w:ilvl="7" w:tplc="A316FD16" w:tentative="1">
      <w:start w:val="1"/>
      <w:numFmt w:val="bullet"/>
      <w:lvlText w:val="o"/>
      <w:lvlJc w:val="left"/>
      <w:pPr>
        <w:ind w:left="6120" w:hanging="360"/>
      </w:pPr>
      <w:rPr>
        <w:rFonts w:ascii="Courier New" w:hAnsi="Courier New" w:cs="Courier New" w:hint="default"/>
      </w:rPr>
    </w:lvl>
    <w:lvl w:ilvl="8" w:tplc="037AD672" w:tentative="1">
      <w:start w:val="1"/>
      <w:numFmt w:val="bullet"/>
      <w:lvlText w:val=""/>
      <w:lvlJc w:val="left"/>
      <w:pPr>
        <w:ind w:left="6840" w:hanging="360"/>
      </w:pPr>
      <w:rPr>
        <w:rFonts w:ascii="Wingdings" w:hAnsi="Wingdings" w:hint="default"/>
      </w:rPr>
    </w:lvl>
  </w:abstractNum>
  <w:abstractNum w:abstractNumId="22" w15:restartNumberingAfterBreak="0">
    <w:nsid w:val="3C2E771F"/>
    <w:multiLevelType w:val="hybridMultilevel"/>
    <w:tmpl w:val="1942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797DF6"/>
    <w:multiLevelType w:val="hybridMultilevel"/>
    <w:tmpl w:val="11B81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92015C"/>
    <w:multiLevelType w:val="hybridMultilevel"/>
    <w:tmpl w:val="BBAA0486"/>
    <w:lvl w:ilvl="0" w:tplc="FA10D7E2">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A979CA"/>
    <w:multiLevelType w:val="hybridMultilevel"/>
    <w:tmpl w:val="8FCE3D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8031526"/>
    <w:multiLevelType w:val="hybridMultilevel"/>
    <w:tmpl w:val="15BC4DA8"/>
    <w:lvl w:ilvl="0" w:tplc="FA10D7E2">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E26399"/>
    <w:multiLevelType w:val="hybridMultilevel"/>
    <w:tmpl w:val="D5941934"/>
    <w:lvl w:ilvl="0" w:tplc="C4C06B5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4A315C"/>
    <w:multiLevelType w:val="hybridMultilevel"/>
    <w:tmpl w:val="DC903BE0"/>
    <w:lvl w:ilvl="0" w:tplc="72B2A942">
      <w:start w:val="1"/>
      <w:numFmt w:val="bullet"/>
      <w:pStyle w:val="Bullet10"/>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546E2D"/>
    <w:multiLevelType w:val="hybridMultilevel"/>
    <w:tmpl w:val="1B68AEFA"/>
    <w:lvl w:ilvl="0" w:tplc="6E3EE1BC">
      <w:start w:val="1"/>
      <w:numFmt w:val="bullet"/>
      <w:lvlText w:val="▪"/>
      <w:lvlJc w:val="left"/>
      <w:pPr>
        <w:ind w:left="1440" w:hanging="360"/>
      </w:pPr>
      <w:rPr>
        <w:rFonts w:ascii="Arial" w:hAnsi="Arial" w:cs="Times New Roman"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CC06B1"/>
    <w:multiLevelType w:val="hybridMultilevel"/>
    <w:tmpl w:val="3598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576156"/>
    <w:multiLevelType w:val="hybridMultilevel"/>
    <w:tmpl w:val="9BA8E7D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25"/>
  </w:num>
  <w:num w:numId="3">
    <w:abstractNumId w:val="14"/>
  </w:num>
  <w:num w:numId="4">
    <w:abstractNumId w:val="16"/>
  </w:num>
  <w:num w:numId="5">
    <w:abstractNumId w:val="19"/>
  </w:num>
  <w:num w:numId="6">
    <w:abstractNumId w:val="18"/>
  </w:num>
  <w:num w:numId="7">
    <w:abstractNumId w:val="30"/>
  </w:num>
  <w:num w:numId="8">
    <w:abstractNumId w:val="2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0"/>
  </w:num>
  <w:num w:numId="21">
    <w:abstractNumId w:val="33"/>
  </w:num>
  <w:num w:numId="22">
    <w:abstractNumId w:val="32"/>
  </w:num>
  <w:num w:numId="23">
    <w:abstractNumId w:val="26"/>
  </w:num>
  <w:num w:numId="24">
    <w:abstractNumId w:val="24"/>
  </w:num>
  <w:num w:numId="25">
    <w:abstractNumId w:val="27"/>
  </w:num>
  <w:num w:numId="26">
    <w:abstractNumId w:val="15"/>
  </w:num>
  <w:num w:numId="27">
    <w:abstractNumId w:val="31"/>
  </w:num>
  <w:num w:numId="28">
    <w:abstractNumId w:val="13"/>
  </w:num>
  <w:num w:numId="29">
    <w:abstractNumId w:val="21"/>
  </w:num>
  <w:num w:numId="30">
    <w:abstractNumId w:val="23"/>
  </w:num>
  <w:num w:numId="31">
    <w:abstractNumId w:val="17"/>
  </w:num>
  <w:num w:numId="32">
    <w:abstractNumId w:val="11"/>
  </w:num>
  <w:num w:numId="33">
    <w:abstractNumId w:val="12"/>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5EF"/>
    <w:rsid w:val="00015304"/>
    <w:rsid w:val="00015986"/>
    <w:rsid w:val="000160E6"/>
    <w:rsid w:val="000174BE"/>
    <w:rsid w:val="00024526"/>
    <w:rsid w:val="00030F43"/>
    <w:rsid w:val="00040DCF"/>
    <w:rsid w:val="000438AF"/>
    <w:rsid w:val="00052C0B"/>
    <w:rsid w:val="00056BEA"/>
    <w:rsid w:val="00056BF8"/>
    <w:rsid w:val="00061CF3"/>
    <w:rsid w:val="00063601"/>
    <w:rsid w:val="00071E68"/>
    <w:rsid w:val="00073079"/>
    <w:rsid w:val="0007593F"/>
    <w:rsid w:val="00095EC9"/>
    <w:rsid w:val="00096A37"/>
    <w:rsid w:val="000A0810"/>
    <w:rsid w:val="000B627F"/>
    <w:rsid w:val="000D649E"/>
    <w:rsid w:val="000D6A72"/>
    <w:rsid w:val="000D6D06"/>
    <w:rsid w:val="00114848"/>
    <w:rsid w:val="00120934"/>
    <w:rsid w:val="00132070"/>
    <w:rsid w:val="00135047"/>
    <w:rsid w:val="00141875"/>
    <w:rsid w:val="0014347E"/>
    <w:rsid w:val="00154438"/>
    <w:rsid w:val="001551F6"/>
    <w:rsid w:val="0015535B"/>
    <w:rsid w:val="00161DC8"/>
    <w:rsid w:val="00162036"/>
    <w:rsid w:val="001632DD"/>
    <w:rsid w:val="00164DC8"/>
    <w:rsid w:val="001679F7"/>
    <w:rsid w:val="00176E60"/>
    <w:rsid w:val="00192E57"/>
    <w:rsid w:val="00194D9A"/>
    <w:rsid w:val="001A196B"/>
    <w:rsid w:val="001A6D05"/>
    <w:rsid w:val="001B38BF"/>
    <w:rsid w:val="001B5B10"/>
    <w:rsid w:val="001B6F3D"/>
    <w:rsid w:val="001B772D"/>
    <w:rsid w:val="001D5B5D"/>
    <w:rsid w:val="001E34D4"/>
    <w:rsid w:val="001E6153"/>
    <w:rsid w:val="001F41BF"/>
    <w:rsid w:val="00201FF9"/>
    <w:rsid w:val="00205857"/>
    <w:rsid w:val="00235ADC"/>
    <w:rsid w:val="00236F87"/>
    <w:rsid w:val="00241DED"/>
    <w:rsid w:val="00251A7D"/>
    <w:rsid w:val="00262B80"/>
    <w:rsid w:val="00265702"/>
    <w:rsid w:val="002662B2"/>
    <w:rsid w:val="002717C7"/>
    <w:rsid w:val="002875E9"/>
    <w:rsid w:val="00287EB3"/>
    <w:rsid w:val="002A47BA"/>
    <w:rsid w:val="002A6777"/>
    <w:rsid w:val="002B06BD"/>
    <w:rsid w:val="002C0E48"/>
    <w:rsid w:val="002C6F04"/>
    <w:rsid w:val="002D294D"/>
    <w:rsid w:val="002E2177"/>
    <w:rsid w:val="002E2E41"/>
    <w:rsid w:val="002E2E60"/>
    <w:rsid w:val="002E5565"/>
    <w:rsid w:val="002E78CD"/>
    <w:rsid w:val="002F20A7"/>
    <w:rsid w:val="003008F4"/>
    <w:rsid w:val="00302B1D"/>
    <w:rsid w:val="00307FA5"/>
    <w:rsid w:val="00324D64"/>
    <w:rsid w:val="00352B52"/>
    <w:rsid w:val="003548EA"/>
    <w:rsid w:val="0035760D"/>
    <w:rsid w:val="00363ECC"/>
    <w:rsid w:val="0039020B"/>
    <w:rsid w:val="00395263"/>
    <w:rsid w:val="003956E0"/>
    <w:rsid w:val="0039609A"/>
    <w:rsid w:val="00397500"/>
    <w:rsid w:val="003A202B"/>
    <w:rsid w:val="003B01E9"/>
    <w:rsid w:val="003B1CC5"/>
    <w:rsid w:val="003B65CE"/>
    <w:rsid w:val="003C34C0"/>
    <w:rsid w:val="003E039E"/>
    <w:rsid w:val="003F2429"/>
    <w:rsid w:val="003F72EA"/>
    <w:rsid w:val="00422917"/>
    <w:rsid w:val="00423DFD"/>
    <w:rsid w:val="00440687"/>
    <w:rsid w:val="0044131D"/>
    <w:rsid w:val="00441ADA"/>
    <w:rsid w:val="004517E9"/>
    <w:rsid w:val="00454C3D"/>
    <w:rsid w:val="00457E46"/>
    <w:rsid w:val="0046316A"/>
    <w:rsid w:val="00472184"/>
    <w:rsid w:val="00496AF8"/>
    <w:rsid w:val="004A575D"/>
    <w:rsid w:val="004B65C6"/>
    <w:rsid w:val="004D1DC7"/>
    <w:rsid w:val="004F50CD"/>
    <w:rsid w:val="004F7C97"/>
    <w:rsid w:val="004F7D7E"/>
    <w:rsid w:val="00500765"/>
    <w:rsid w:val="00500B0C"/>
    <w:rsid w:val="00537150"/>
    <w:rsid w:val="00537B4A"/>
    <w:rsid w:val="00540984"/>
    <w:rsid w:val="00543851"/>
    <w:rsid w:val="00546692"/>
    <w:rsid w:val="0055559D"/>
    <w:rsid w:val="005569AE"/>
    <w:rsid w:val="00564230"/>
    <w:rsid w:val="005827B0"/>
    <w:rsid w:val="00583402"/>
    <w:rsid w:val="005857F8"/>
    <w:rsid w:val="005B0D18"/>
    <w:rsid w:val="005B12C3"/>
    <w:rsid w:val="005B409D"/>
    <w:rsid w:val="005D0FDB"/>
    <w:rsid w:val="005D25E9"/>
    <w:rsid w:val="005D6D59"/>
    <w:rsid w:val="00605EF4"/>
    <w:rsid w:val="006065D8"/>
    <w:rsid w:val="00613335"/>
    <w:rsid w:val="00617390"/>
    <w:rsid w:val="00620820"/>
    <w:rsid w:val="00622521"/>
    <w:rsid w:val="00623420"/>
    <w:rsid w:val="00632616"/>
    <w:rsid w:val="00634768"/>
    <w:rsid w:val="0063596F"/>
    <w:rsid w:val="006402D8"/>
    <w:rsid w:val="00647360"/>
    <w:rsid w:val="006709EB"/>
    <w:rsid w:val="00672824"/>
    <w:rsid w:val="0068184A"/>
    <w:rsid w:val="006A5124"/>
    <w:rsid w:val="006B1FDC"/>
    <w:rsid w:val="006B497B"/>
    <w:rsid w:val="006B5C51"/>
    <w:rsid w:val="006C7F30"/>
    <w:rsid w:val="006E6FDD"/>
    <w:rsid w:val="006F4B7F"/>
    <w:rsid w:val="006F760B"/>
    <w:rsid w:val="00701CC3"/>
    <w:rsid w:val="007030D8"/>
    <w:rsid w:val="00724801"/>
    <w:rsid w:val="00734949"/>
    <w:rsid w:val="00734D2C"/>
    <w:rsid w:val="00736AEC"/>
    <w:rsid w:val="00736E0F"/>
    <w:rsid w:val="00737A67"/>
    <w:rsid w:val="007434FA"/>
    <w:rsid w:val="00751C00"/>
    <w:rsid w:val="007573F0"/>
    <w:rsid w:val="00765156"/>
    <w:rsid w:val="00767669"/>
    <w:rsid w:val="00773485"/>
    <w:rsid w:val="0077610F"/>
    <w:rsid w:val="00776E8F"/>
    <w:rsid w:val="00776F6D"/>
    <w:rsid w:val="007C0297"/>
    <w:rsid w:val="007C1887"/>
    <w:rsid w:val="007C7F87"/>
    <w:rsid w:val="007D4775"/>
    <w:rsid w:val="007D5DC6"/>
    <w:rsid w:val="007E37A5"/>
    <w:rsid w:val="007F49D8"/>
    <w:rsid w:val="007F6F9E"/>
    <w:rsid w:val="00805940"/>
    <w:rsid w:val="00824E1D"/>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E40F3"/>
    <w:rsid w:val="008F1DC6"/>
    <w:rsid w:val="008F63E3"/>
    <w:rsid w:val="00905C5B"/>
    <w:rsid w:val="00923295"/>
    <w:rsid w:val="00925F11"/>
    <w:rsid w:val="00935265"/>
    <w:rsid w:val="0094689F"/>
    <w:rsid w:val="009477D6"/>
    <w:rsid w:val="00953ED3"/>
    <w:rsid w:val="00961DA9"/>
    <w:rsid w:val="00965FF6"/>
    <w:rsid w:val="0096727B"/>
    <w:rsid w:val="009846D6"/>
    <w:rsid w:val="00984E64"/>
    <w:rsid w:val="0098657F"/>
    <w:rsid w:val="00987E30"/>
    <w:rsid w:val="009A3236"/>
    <w:rsid w:val="009B5A93"/>
    <w:rsid w:val="009B5BEA"/>
    <w:rsid w:val="009C21E2"/>
    <w:rsid w:val="009C291F"/>
    <w:rsid w:val="009C72E6"/>
    <w:rsid w:val="009E37BD"/>
    <w:rsid w:val="009E6B86"/>
    <w:rsid w:val="00A03301"/>
    <w:rsid w:val="00A036C5"/>
    <w:rsid w:val="00A12762"/>
    <w:rsid w:val="00A13867"/>
    <w:rsid w:val="00A14DCD"/>
    <w:rsid w:val="00A26FED"/>
    <w:rsid w:val="00A409CA"/>
    <w:rsid w:val="00A421D4"/>
    <w:rsid w:val="00A44FF0"/>
    <w:rsid w:val="00A50E55"/>
    <w:rsid w:val="00A67A19"/>
    <w:rsid w:val="00A67EB1"/>
    <w:rsid w:val="00A7389D"/>
    <w:rsid w:val="00A81DA6"/>
    <w:rsid w:val="00A81DDA"/>
    <w:rsid w:val="00A91A47"/>
    <w:rsid w:val="00A95D2B"/>
    <w:rsid w:val="00A97464"/>
    <w:rsid w:val="00AA5587"/>
    <w:rsid w:val="00AC1E53"/>
    <w:rsid w:val="00AD79C8"/>
    <w:rsid w:val="00AD7DF3"/>
    <w:rsid w:val="00AE6CE0"/>
    <w:rsid w:val="00AF0B50"/>
    <w:rsid w:val="00AF1A15"/>
    <w:rsid w:val="00B058A6"/>
    <w:rsid w:val="00B117D0"/>
    <w:rsid w:val="00B12882"/>
    <w:rsid w:val="00B13998"/>
    <w:rsid w:val="00B35A61"/>
    <w:rsid w:val="00B439DD"/>
    <w:rsid w:val="00B43BCB"/>
    <w:rsid w:val="00B52E0F"/>
    <w:rsid w:val="00B5437E"/>
    <w:rsid w:val="00B74629"/>
    <w:rsid w:val="00B91F58"/>
    <w:rsid w:val="00BA579E"/>
    <w:rsid w:val="00BB2384"/>
    <w:rsid w:val="00BC4B7A"/>
    <w:rsid w:val="00BE2295"/>
    <w:rsid w:val="00BE55EF"/>
    <w:rsid w:val="00BE6373"/>
    <w:rsid w:val="00BF2B5A"/>
    <w:rsid w:val="00BF533A"/>
    <w:rsid w:val="00BF6AB7"/>
    <w:rsid w:val="00C24F38"/>
    <w:rsid w:val="00C407A2"/>
    <w:rsid w:val="00C46677"/>
    <w:rsid w:val="00C51125"/>
    <w:rsid w:val="00C5180E"/>
    <w:rsid w:val="00C53B79"/>
    <w:rsid w:val="00C54E40"/>
    <w:rsid w:val="00C55F56"/>
    <w:rsid w:val="00C5731D"/>
    <w:rsid w:val="00C57BA4"/>
    <w:rsid w:val="00C613EB"/>
    <w:rsid w:val="00C84623"/>
    <w:rsid w:val="00C8549D"/>
    <w:rsid w:val="00CA5C0B"/>
    <w:rsid w:val="00CB06C9"/>
    <w:rsid w:val="00CB1E41"/>
    <w:rsid w:val="00CB271C"/>
    <w:rsid w:val="00CE4A3B"/>
    <w:rsid w:val="00CE4F96"/>
    <w:rsid w:val="00CF0AB1"/>
    <w:rsid w:val="00CF4B9B"/>
    <w:rsid w:val="00CF55E6"/>
    <w:rsid w:val="00CF772F"/>
    <w:rsid w:val="00D048DB"/>
    <w:rsid w:val="00D14F0B"/>
    <w:rsid w:val="00D178CA"/>
    <w:rsid w:val="00D31F22"/>
    <w:rsid w:val="00D3311C"/>
    <w:rsid w:val="00D53405"/>
    <w:rsid w:val="00D5457B"/>
    <w:rsid w:val="00D63521"/>
    <w:rsid w:val="00D70970"/>
    <w:rsid w:val="00D72995"/>
    <w:rsid w:val="00D80F07"/>
    <w:rsid w:val="00D86823"/>
    <w:rsid w:val="00D94795"/>
    <w:rsid w:val="00DA7FA2"/>
    <w:rsid w:val="00DC1834"/>
    <w:rsid w:val="00DC2D8D"/>
    <w:rsid w:val="00DD3BCC"/>
    <w:rsid w:val="00DE1F5D"/>
    <w:rsid w:val="00DE50D8"/>
    <w:rsid w:val="00DE7CFC"/>
    <w:rsid w:val="00DF278A"/>
    <w:rsid w:val="00E1664B"/>
    <w:rsid w:val="00E30D12"/>
    <w:rsid w:val="00E3394E"/>
    <w:rsid w:val="00E35241"/>
    <w:rsid w:val="00E41417"/>
    <w:rsid w:val="00E52541"/>
    <w:rsid w:val="00E536D3"/>
    <w:rsid w:val="00E57BE2"/>
    <w:rsid w:val="00E62A95"/>
    <w:rsid w:val="00E70E76"/>
    <w:rsid w:val="00E746A2"/>
    <w:rsid w:val="00E85F5B"/>
    <w:rsid w:val="00E90D06"/>
    <w:rsid w:val="00E97E59"/>
    <w:rsid w:val="00EA79C9"/>
    <w:rsid w:val="00EB66AC"/>
    <w:rsid w:val="00EC2247"/>
    <w:rsid w:val="00ED40E5"/>
    <w:rsid w:val="00EE1F87"/>
    <w:rsid w:val="00EE3931"/>
    <w:rsid w:val="00EE5AF6"/>
    <w:rsid w:val="00EF2CEF"/>
    <w:rsid w:val="00F02380"/>
    <w:rsid w:val="00F04C61"/>
    <w:rsid w:val="00F1092D"/>
    <w:rsid w:val="00F423BA"/>
    <w:rsid w:val="00F42C20"/>
    <w:rsid w:val="00F431D8"/>
    <w:rsid w:val="00F67706"/>
    <w:rsid w:val="00F70FA1"/>
    <w:rsid w:val="00F853AE"/>
    <w:rsid w:val="00F92D75"/>
    <w:rsid w:val="00F94160"/>
    <w:rsid w:val="00F97327"/>
    <w:rsid w:val="00FA296F"/>
    <w:rsid w:val="00FA7323"/>
    <w:rsid w:val="00FC19C7"/>
    <w:rsid w:val="00FC32D3"/>
    <w:rsid w:val="00FD4D82"/>
    <w:rsid w:val="00FD6C7C"/>
    <w:rsid w:val="00FE57AE"/>
    <w:rsid w:val="00FE65F1"/>
    <w:rsid w:val="00FF16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7E7421D"/>
  <w15:docId w15:val="{881856E2-B08D-404C-8398-BE854412D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16A"/>
  </w:style>
  <w:style w:type="paragraph" w:styleId="Heading1">
    <w:name w:val="heading 1"/>
    <w:basedOn w:val="Normal"/>
    <w:next w:val="Normal"/>
    <w:link w:val="Heading1Char"/>
    <w:uiPriority w:val="9"/>
    <w:qFormat/>
    <w:rsid w:val="0046316A"/>
    <w:pPr>
      <w:spacing w:after="240"/>
      <w:jc w:val="center"/>
      <w:outlineLvl w:val="0"/>
    </w:pPr>
    <w:rPr>
      <w:b/>
      <w:smallCaps/>
      <w:noProof/>
      <w:sz w:val="24"/>
      <w:szCs w:val="24"/>
    </w:rPr>
  </w:style>
  <w:style w:type="paragraph" w:styleId="Heading2">
    <w:name w:val="heading 2"/>
    <w:basedOn w:val="Normal"/>
    <w:next w:val="Normal"/>
    <w:link w:val="Heading2Char"/>
    <w:uiPriority w:val="9"/>
    <w:unhideWhenUsed/>
    <w:qFormat/>
    <w:rsid w:val="00D94795"/>
    <w:pPr>
      <w:ind w:left="0" w:firstLine="0"/>
      <w:outlineLvl w:val="1"/>
    </w:pPr>
    <w:rPr>
      <w:b/>
      <w:bCs/>
    </w:rPr>
  </w:style>
  <w:style w:type="paragraph" w:styleId="Heading3">
    <w:name w:val="heading 3"/>
    <w:basedOn w:val="Heading2"/>
    <w:next w:val="Normal"/>
    <w:link w:val="Heading3Char"/>
    <w:uiPriority w:val="9"/>
    <w:qFormat/>
    <w:rsid w:val="008659ED"/>
    <w:pPr>
      <w:outlineLvl w:val="2"/>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0820"/>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rsid w:val="00D94795"/>
    <w:rPr>
      <w:b/>
      <w:bCs/>
    </w:rPr>
  </w:style>
  <w:style w:type="paragraph" w:customStyle="1" w:styleId="Response">
    <w:name w:val="Response"/>
    <w:basedOn w:val="Normal"/>
    <w:qFormat/>
    <w:rsid w:val="00015304"/>
    <w:pPr>
      <w:spacing w:before="240" w:after="240"/>
      <w:ind w:left="432" w:hanging="432"/>
    </w:pPr>
    <w:rPr>
      <w:color w:val="0000FF"/>
    </w:rPr>
  </w:style>
  <w:style w:type="character" w:customStyle="1" w:styleId="Heading1Char">
    <w:name w:val="Heading 1 Char"/>
    <w:basedOn w:val="DefaultParagraphFont"/>
    <w:link w:val="Heading1"/>
    <w:uiPriority w:val="9"/>
    <w:rsid w:val="0046316A"/>
    <w:rPr>
      <w:b/>
      <w:smallCaps/>
      <w:noProof/>
      <w:sz w:val="24"/>
      <w:szCs w:val="24"/>
    </w:rPr>
  </w:style>
  <w:style w:type="paragraph" w:customStyle="1" w:styleId="IntroInfo">
    <w:name w:val="Intro_Info"/>
    <w:basedOn w:val="Normal"/>
    <w:qFormat/>
    <w:rsid w:val="00D94795"/>
    <w:pPr>
      <w:spacing w:after="160"/>
      <w:ind w:left="0" w:firstLine="0"/>
      <w:contextualSpacing/>
    </w:pPr>
    <w:rPr>
      <w:noProof/>
    </w:rPr>
  </w:style>
  <w:style w:type="paragraph" w:customStyle="1" w:styleId="Bullet11">
    <w:name w:val="Bullet_11"/>
    <w:basedOn w:val="CommentText"/>
    <w:rsid w:val="0046316A"/>
    <w:pPr>
      <w:numPr>
        <w:numId w:val="5"/>
      </w:numPr>
    </w:pPr>
    <w:rPr>
      <w:sz w:val="22"/>
      <w:szCs w:val="22"/>
    </w:rPr>
  </w:style>
  <w:style w:type="paragraph" w:customStyle="1" w:styleId="Bullet2nd">
    <w:name w:val="Bullet 2nd"/>
    <w:basedOn w:val="CommentText"/>
    <w:rsid w:val="0046316A"/>
    <w:pPr>
      <w:numPr>
        <w:ilvl w:val="1"/>
        <w:numId w:val="5"/>
      </w:numPr>
      <w:ind w:left="792"/>
    </w:pPr>
    <w:rPr>
      <w:i/>
      <w:sz w:val="22"/>
      <w:szCs w:val="22"/>
    </w:rPr>
  </w:style>
  <w:style w:type="paragraph" w:customStyle="1" w:styleId="Bullet10">
    <w:name w:val="Bullet_10"/>
    <w:basedOn w:val="Normal"/>
    <w:qFormat/>
    <w:rsid w:val="00D94795"/>
    <w:pPr>
      <w:numPr>
        <w:numId w:val="7"/>
      </w:numPr>
      <w:spacing w:after="160"/>
      <w:contextualSpacing/>
    </w:pPr>
    <w:rPr>
      <w:rFonts w:eastAsia="Calibri" w:cs="Calibri"/>
      <w:sz w:val="20"/>
      <w:szCs w:val="20"/>
    </w:rPr>
  </w:style>
  <w:style w:type="paragraph" w:customStyle="1" w:styleId="Notes">
    <w:name w:val="Notes"/>
    <w:basedOn w:val="Normal"/>
    <w:qFormat/>
    <w:rsid w:val="00D94795"/>
    <w:pPr>
      <w:ind w:left="0" w:firstLine="0"/>
    </w:pPr>
    <w:rPr>
      <w:rFonts w:eastAsia="Calibri" w:cs="Calibri"/>
      <w:sz w:val="20"/>
      <w:szCs w:val="20"/>
    </w:rPr>
  </w:style>
  <w:style w:type="paragraph" w:customStyle="1" w:styleId="LineDivider">
    <w:name w:val="Line Divider"/>
    <w:basedOn w:val="Normal"/>
    <w:qFormat/>
    <w:rsid w:val="00D94795"/>
    <w:pPr>
      <w:keepNext/>
      <w:keepLines/>
      <w:spacing w:before="240"/>
      <w:ind w:left="0" w:firstLine="0"/>
    </w:pPr>
    <w:rPr>
      <w:b/>
      <w:iCs/>
      <w:caps/>
    </w:rPr>
  </w:style>
  <w:style w:type="paragraph" w:customStyle="1" w:styleId="Question">
    <w:name w:val="Question"/>
    <w:basedOn w:val="Normal"/>
    <w:qFormat/>
    <w:rsid w:val="00D94795"/>
    <w:pPr>
      <w:keepNext/>
      <w:keepLines/>
      <w:ind w:left="432" w:hanging="432"/>
    </w:pPr>
    <w:rPr>
      <w:b/>
    </w:rPr>
  </w:style>
  <w:style w:type="paragraph" w:styleId="NormalWeb">
    <w:name w:val="Normal (Web)"/>
    <w:basedOn w:val="Normal"/>
    <w:uiPriority w:val="99"/>
    <w:semiHidden/>
    <w:unhideWhenUsed/>
    <w:rsid w:val="00164DC8"/>
    <w:pPr>
      <w:spacing w:before="100" w:beforeAutospacing="1" w:after="100" w:afterAutospacing="1"/>
      <w:ind w:left="0" w:firstLine="0"/>
    </w:pPr>
    <w:rPr>
      <w:rFonts w:ascii="Times New Roman" w:eastAsia="Times New Roman" w:hAnsi="Times New Roman" w:cs="Times New Roman"/>
      <w:color w:val="0000FF"/>
      <w:sz w:val="24"/>
      <w:szCs w:val="24"/>
    </w:rPr>
  </w:style>
  <w:style w:type="paragraph" w:customStyle="1" w:styleId="EndNoteBibliography">
    <w:name w:val="EndNote Bibliography"/>
    <w:basedOn w:val="Normal"/>
    <w:link w:val="EndNoteBibliographyChar"/>
    <w:rsid w:val="001E34D4"/>
    <w:pPr>
      <w:spacing w:after="160"/>
      <w:ind w:left="0" w:firstLine="0"/>
    </w:pPr>
    <w:rPr>
      <w:rFonts w:ascii="Calibri" w:hAnsi="Calibri" w:cstheme="minorHAnsi"/>
      <w:noProof/>
      <w:color w:val="0000FF"/>
    </w:rPr>
  </w:style>
  <w:style w:type="character" w:customStyle="1" w:styleId="EndNoteBibliographyChar">
    <w:name w:val="EndNote Bibliography Char"/>
    <w:basedOn w:val="DefaultParagraphFont"/>
    <w:link w:val="EndNoteBibliography"/>
    <w:rsid w:val="001E34D4"/>
    <w:rPr>
      <w:rFonts w:ascii="Calibri" w:hAnsi="Calibri" w:cstheme="minorHAnsi"/>
      <w:noProof/>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spreventiveservicestaskforce.org/methods.htm" TargetMode="External"/><Relationship Id="rId18" Type="http://schemas.openxmlformats.org/officeDocument/2006/relationships/hyperlink" Target="http://www.ncbi.nlm.nih.gov/pubmed/24048214" TargetMode="External"/><Relationship Id="rId26" Type="http://schemas.openxmlformats.org/officeDocument/2006/relationships/hyperlink" Target="http://www.ahcancal.org/research_data/trends_statistics/Pages/Fast-Facts.aspx" TargetMode="External"/><Relationship Id="rId3" Type="http://schemas.openxmlformats.org/officeDocument/2006/relationships/customXml" Target="../customXml/item3.xml"/><Relationship Id="rId21" Type="http://schemas.openxmlformats.org/officeDocument/2006/relationships/hyperlink" Target="http://www.cdc.gov/vaccines/hcp/acip-recs/vacc-specific/flu.html" TargetMode="External"/><Relationship Id="rId7" Type="http://schemas.openxmlformats.org/officeDocument/2006/relationships/settings" Target="settings.xml"/><Relationship Id="rId12" Type="http://schemas.openxmlformats.org/officeDocument/2006/relationships/hyperlink" Target="http://www.uspreventiveservicestaskforce.org/uspstf/grades.htm" TargetMode="External"/><Relationship Id="rId17" Type="http://schemas.openxmlformats.org/officeDocument/2006/relationships/hyperlink" Target="http://www.cdc.gov/washington/pdf/flu_newsletter.pdf" TargetMode="External"/><Relationship Id="rId25" Type="http://schemas.openxmlformats.org/officeDocument/2006/relationships/hyperlink" Target="http://gis.cdc.gov/GRASP/Fluview/FluHospRates.htm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hyperlink" Target="http://www.cdc.gov/mmwr/preview/mmwrhtml/mm6430a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hyperlink" Target="http://www.cdc.gov/flu/weekly/"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hyperlink" Target="http://www.ncbi.nlm.nih.gov/pubmed/24048214" TargetMode="External"/><Relationship Id="rId28" Type="http://schemas.openxmlformats.org/officeDocument/2006/relationships/hyperlink" Target="http://www.ncbi.nlm.nih.gov/pubmed/?term=Kelman%20J%5BAuthor%5D&amp;cauthor=true&amp;cauthor_uid=25672568" TargetMode="External"/><Relationship Id="rId10" Type="http://schemas.openxmlformats.org/officeDocument/2006/relationships/endnotes" Target="endnotes.xml"/><Relationship Id="rId19" Type="http://schemas.openxmlformats.org/officeDocument/2006/relationships/hyperlink" Target="http://www.cdc.gov/flu/about/disease/2014-15.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publications/index.htm" TargetMode="External"/><Relationship Id="rId22" Type="http://schemas.openxmlformats.org/officeDocument/2006/relationships/hyperlink" Target="http://www.cdc.gov/mmwr/preview/mmwrhtml/mm6430a3.htm" TargetMode="External"/><Relationship Id="rId27" Type="http://schemas.openxmlformats.org/officeDocument/2006/relationships/hyperlink" Target="https://www.nlm.nih.gov/nichsr/hedges/search.html" TargetMode="External"/><Relationship Id="rId3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7B3B4E5F5AF424D88E13337C25704CD"/>
        <w:category>
          <w:name w:val="General"/>
          <w:gallery w:val="placeholder"/>
        </w:category>
        <w:types>
          <w:type w:val="bbPlcHdr"/>
        </w:types>
        <w:behaviors>
          <w:behavior w:val="content"/>
        </w:behaviors>
        <w:guid w:val="{774E50BD-3C9E-4BAF-8EB9-86982D47B8E8}"/>
      </w:docPartPr>
      <w:docPartBody>
        <w:p w:rsidR="00C17EA4" w:rsidRDefault="00B01E9F">
          <w:pPr>
            <w:pStyle w:val="E7B3B4E5F5AF424D88E13337C25704CD"/>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6A9390277D7A42B4BE885E270F4FD26A"/>
        <w:category>
          <w:name w:val="General"/>
          <w:gallery w:val="placeholder"/>
        </w:category>
        <w:types>
          <w:type w:val="bbPlcHdr"/>
        </w:types>
        <w:behaviors>
          <w:behavior w:val="content"/>
        </w:behaviors>
        <w:guid w:val="{43BD24EB-9B3F-4A55-BA34-BA424BF77502}"/>
      </w:docPartPr>
      <w:docPartBody>
        <w:p w:rsidR="00C17EA4" w:rsidRDefault="00B01E9F">
          <w:pPr>
            <w:pStyle w:val="6A9390277D7A42B4BE885E270F4FD26A"/>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D6261DBE471B4D46AA81461BC2A156A0"/>
        <w:category>
          <w:name w:val="General"/>
          <w:gallery w:val="placeholder"/>
        </w:category>
        <w:types>
          <w:type w:val="bbPlcHdr"/>
        </w:types>
        <w:behaviors>
          <w:behavior w:val="content"/>
        </w:behaviors>
        <w:guid w:val="{D45DD293-3259-45CA-B290-179E03958109}"/>
      </w:docPartPr>
      <w:docPartBody>
        <w:p w:rsidR="00C17EA4" w:rsidRDefault="00B01E9F">
          <w:pPr>
            <w:pStyle w:val="D6261DBE471B4D46AA81461BC2A156A0"/>
          </w:pPr>
          <w:r w:rsidRPr="003B1CC5">
            <w:rPr>
              <w:rStyle w:val="PlaceholderText"/>
              <w:rFonts w:cstheme="minorHAnsi"/>
              <w:color w:val="A6A6A6" w:themeColor="background1" w:themeShade="A6"/>
            </w:rPr>
            <w:t>Click here to name the intermediate outcome</w:t>
          </w:r>
        </w:p>
      </w:docPartBody>
    </w:docPart>
    <w:docPart>
      <w:docPartPr>
        <w:name w:val="ED5A44BC71CF47C1A6F9C83DBCAA41F5"/>
        <w:category>
          <w:name w:val="General"/>
          <w:gallery w:val="placeholder"/>
        </w:category>
        <w:types>
          <w:type w:val="bbPlcHdr"/>
        </w:types>
        <w:behaviors>
          <w:behavior w:val="content"/>
        </w:behaviors>
        <w:guid w:val="{64F38DF3-9CD0-433D-A5C0-7827E4CC1CA7}"/>
      </w:docPartPr>
      <w:docPartBody>
        <w:p w:rsidR="00C17EA4" w:rsidRDefault="00B01E9F">
          <w:pPr>
            <w:pStyle w:val="ED5A44BC71CF47C1A6F9C83DBCAA41F5"/>
          </w:pPr>
          <w:r w:rsidRPr="003B1CC5">
            <w:rPr>
              <w:rStyle w:val="PlaceholderText"/>
              <w:rFonts w:cstheme="minorHAnsi"/>
              <w:color w:val="A6A6A6" w:themeColor="background1" w:themeShade="A6"/>
            </w:rPr>
            <w:t>Click here to name the process</w:t>
          </w:r>
        </w:p>
      </w:docPartBody>
    </w:docPart>
    <w:docPart>
      <w:docPartPr>
        <w:name w:val="C077BBA76524438382EE557B291DA516"/>
        <w:category>
          <w:name w:val="General"/>
          <w:gallery w:val="placeholder"/>
        </w:category>
        <w:types>
          <w:type w:val="bbPlcHdr"/>
        </w:types>
        <w:behaviors>
          <w:behavior w:val="content"/>
        </w:behaviors>
        <w:guid w:val="{FD07C0B7-2F76-469F-9235-F7635722E327}"/>
      </w:docPartPr>
      <w:docPartBody>
        <w:p w:rsidR="00C17EA4" w:rsidRDefault="00B01E9F" w:rsidP="00B01E9F">
          <w:pPr>
            <w:pStyle w:val="C077BBA76524438382EE557B291DA516"/>
          </w:pPr>
          <w:r w:rsidRPr="003B1CC5">
            <w:rPr>
              <w:rStyle w:val="PlaceholderText"/>
            </w:rPr>
            <w:t>Click here to enter NQF number</w:t>
          </w:r>
        </w:p>
      </w:docPartBody>
    </w:docPart>
    <w:docPart>
      <w:docPartPr>
        <w:name w:val="83EAC5B7B7A54DB5966CA7CB36589304"/>
        <w:category>
          <w:name w:val="General"/>
          <w:gallery w:val="placeholder"/>
        </w:category>
        <w:types>
          <w:type w:val="bbPlcHdr"/>
        </w:types>
        <w:behaviors>
          <w:behavior w:val="content"/>
        </w:behaviors>
        <w:guid w:val="{EB868811-F066-4F09-911A-4493AD08ED42}"/>
      </w:docPartPr>
      <w:docPartBody>
        <w:p w:rsidR="00C17EA4" w:rsidRDefault="00B01E9F" w:rsidP="00B01E9F">
          <w:pPr>
            <w:pStyle w:val="83EAC5B7B7A54DB5966CA7CB36589304"/>
          </w:pPr>
          <w:r w:rsidRPr="003B1CC5">
            <w:rPr>
              <w:rStyle w:val="PlaceholderText"/>
            </w:rPr>
            <w:t>Click here to enter NQF number</w:t>
          </w:r>
        </w:p>
      </w:docPartBody>
    </w:docPart>
    <w:docPart>
      <w:docPartPr>
        <w:name w:val="2D1D908348604B43AD597392DEBB276A"/>
        <w:category>
          <w:name w:val="General"/>
          <w:gallery w:val="placeholder"/>
        </w:category>
        <w:types>
          <w:type w:val="bbPlcHdr"/>
        </w:types>
        <w:behaviors>
          <w:behavior w:val="content"/>
        </w:behaviors>
        <w:guid w:val="{B1498134-DE36-4D34-BC82-83B8944D856A}"/>
      </w:docPartPr>
      <w:docPartBody>
        <w:p w:rsidR="00C17EA4" w:rsidRDefault="00B01E9F" w:rsidP="00B01E9F">
          <w:pPr>
            <w:pStyle w:val="2D1D908348604B43AD597392DEBB276A"/>
          </w:pPr>
          <w:r w:rsidRPr="003B1CC5">
            <w:rPr>
              <w:rStyle w:val="PlaceholderText"/>
              <w:rFonts w:cstheme="minorHAnsi"/>
              <w:color w:val="A6A6A6" w:themeColor="background1" w:themeShade="A6"/>
            </w:rPr>
            <w:t>Click here to enter measure title</w:t>
          </w:r>
        </w:p>
      </w:docPartBody>
    </w:docPart>
    <w:docPart>
      <w:docPartPr>
        <w:name w:val="9F28B622004547558A40C3FA00E2A482"/>
        <w:category>
          <w:name w:val="General"/>
          <w:gallery w:val="placeholder"/>
        </w:category>
        <w:types>
          <w:type w:val="bbPlcHdr"/>
        </w:types>
        <w:behaviors>
          <w:behavior w:val="content"/>
        </w:behaviors>
        <w:guid w:val="{5C02D98D-E8E5-4946-891C-4B4CEB478D8A}"/>
      </w:docPartPr>
      <w:docPartBody>
        <w:p w:rsidR="00C17EA4" w:rsidRDefault="00B01E9F" w:rsidP="00B01E9F">
          <w:pPr>
            <w:pStyle w:val="9F28B622004547558A40C3FA00E2A482"/>
          </w:pPr>
          <w:r w:rsidRPr="00B83BC5">
            <w:rPr>
              <w:rStyle w:val="PlaceholderText"/>
              <w:rFonts w:cstheme="minorHAnsi"/>
              <w:color w:val="A6A6A6" w:themeColor="background1" w:themeShade="A6"/>
            </w:rPr>
            <w:t>Click here to enter measure title</w:t>
          </w:r>
        </w:p>
      </w:docPartBody>
    </w:docPart>
    <w:docPart>
      <w:docPartPr>
        <w:name w:val="6EC6C65BA8EC4342B7CD4BFC7CB1EDCF"/>
        <w:category>
          <w:name w:val="General"/>
          <w:gallery w:val="placeholder"/>
        </w:category>
        <w:types>
          <w:type w:val="bbPlcHdr"/>
        </w:types>
        <w:behaviors>
          <w:behavior w:val="content"/>
        </w:behaviors>
        <w:guid w:val="{0D88EDDA-6044-4C69-AA73-D7832C350BEA}"/>
      </w:docPartPr>
      <w:docPartBody>
        <w:p w:rsidR="00C17EA4" w:rsidRDefault="00B01E9F" w:rsidP="00B01E9F">
          <w:pPr>
            <w:pStyle w:val="6EC6C65BA8EC4342B7CD4BFC7CB1EDCF"/>
          </w:pPr>
          <w:r w:rsidRPr="003B1CC5">
            <w:rPr>
              <w:rStyle w:val="PlaceholderText"/>
              <w:rFonts w:cstheme="minorHAnsi"/>
              <w:color w:val="A6A6A6" w:themeColor="background1" w:themeShade="A6"/>
            </w:rPr>
            <w:t>Click here to enter composite measure #/ title</w:t>
          </w:r>
        </w:p>
      </w:docPartBody>
    </w:docPart>
    <w:docPart>
      <w:docPartPr>
        <w:name w:val="BD4332B9F59641C7BA4D08DAF3DBA8BA"/>
        <w:category>
          <w:name w:val="General"/>
          <w:gallery w:val="placeholder"/>
        </w:category>
        <w:types>
          <w:type w:val="bbPlcHdr"/>
        </w:types>
        <w:behaviors>
          <w:behavior w:val="content"/>
        </w:behaviors>
        <w:guid w:val="{04B142E5-360C-48E8-A57E-0EA107D805EE}"/>
      </w:docPartPr>
      <w:docPartBody>
        <w:p w:rsidR="00C17EA4" w:rsidRDefault="00B01E9F" w:rsidP="00B01E9F">
          <w:pPr>
            <w:pStyle w:val="BD4332B9F59641C7BA4D08DAF3DBA8BA"/>
          </w:pPr>
          <w:r w:rsidRPr="003B1CC5">
            <w:rPr>
              <w:rStyle w:val="PlaceholderText"/>
              <w:rFonts w:cstheme="minorHAnsi"/>
              <w:color w:val="A6A6A6" w:themeColor="background1" w:themeShade="A6"/>
            </w:rPr>
            <w:t>Click here to enter a date</w:t>
          </w:r>
        </w:p>
      </w:docPartBody>
    </w:docPart>
    <w:docPart>
      <w:docPartPr>
        <w:name w:val="312F615A75C84087A7A5948FF59690E0"/>
        <w:category>
          <w:name w:val="General"/>
          <w:gallery w:val="placeholder"/>
        </w:category>
        <w:types>
          <w:type w:val="bbPlcHdr"/>
        </w:types>
        <w:behaviors>
          <w:behavior w:val="content"/>
        </w:behaviors>
        <w:guid w:val="{ABD4CB17-D16F-4ABE-A021-7F346DD14E4E}"/>
      </w:docPartPr>
      <w:docPartBody>
        <w:p w:rsidR="00C17EA4" w:rsidRDefault="00B01E9F" w:rsidP="00B01E9F">
          <w:pPr>
            <w:pStyle w:val="312F615A75C84087A7A5948FF59690E0"/>
          </w:pPr>
          <w:r w:rsidRPr="003B1CC5">
            <w:rPr>
              <w:rStyle w:val="PlaceholderText"/>
              <w:rFonts w:cstheme="minorHAnsi"/>
              <w:color w:val="A6A6A6" w:themeColor="background1" w:themeShade="A6"/>
            </w:rPr>
            <w:t>Click here to name the process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dvOTb92eb7df.I">
    <w:panose1 w:val="00000000000000000000"/>
    <w:charset w:val="00"/>
    <w:family w:val="roman"/>
    <w:notTrueType/>
    <w:pitch w:val="default"/>
    <w:sig w:usb0="00000003" w:usb1="00000000" w:usb2="00000000" w:usb3="00000000" w:csb0="00000001" w:csb1="00000000"/>
  </w:font>
  <w:font w:name="AdvOT863180fb">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E9F"/>
    <w:rsid w:val="00247D82"/>
    <w:rsid w:val="00257008"/>
    <w:rsid w:val="003B7888"/>
    <w:rsid w:val="0069598D"/>
    <w:rsid w:val="009C775E"/>
    <w:rsid w:val="00AA611B"/>
    <w:rsid w:val="00B01E9F"/>
    <w:rsid w:val="00C17EA4"/>
    <w:rsid w:val="00DA2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E9F"/>
    <w:rPr>
      <w:color w:val="808080"/>
    </w:rPr>
  </w:style>
  <w:style w:type="paragraph" w:customStyle="1" w:styleId="EFC496F393594144BD741B9F9AE7602D">
    <w:name w:val="EFC496F393594144BD741B9F9AE7602D"/>
  </w:style>
  <w:style w:type="paragraph" w:customStyle="1" w:styleId="CF82B1FC9CDF4C47B9FF4480B257D80C">
    <w:name w:val="CF82B1FC9CDF4C47B9FF4480B257D80C"/>
  </w:style>
  <w:style w:type="paragraph" w:customStyle="1" w:styleId="696DE396D35F4D72B9AD352DF84FD024">
    <w:name w:val="696DE396D35F4D72B9AD352DF84FD024"/>
  </w:style>
  <w:style w:type="paragraph" w:customStyle="1" w:styleId="0700F64030FD4B18A7F04A34BD784672">
    <w:name w:val="0700F64030FD4B18A7F04A34BD784672"/>
  </w:style>
  <w:style w:type="paragraph" w:customStyle="1" w:styleId="E7B3B4E5F5AF424D88E13337C25704CD">
    <w:name w:val="E7B3B4E5F5AF424D88E13337C25704CD"/>
  </w:style>
  <w:style w:type="paragraph" w:customStyle="1" w:styleId="6A9390277D7A42B4BE885E270F4FD26A">
    <w:name w:val="6A9390277D7A42B4BE885E270F4FD26A"/>
  </w:style>
  <w:style w:type="paragraph" w:customStyle="1" w:styleId="D6261DBE471B4D46AA81461BC2A156A0">
    <w:name w:val="D6261DBE471B4D46AA81461BC2A156A0"/>
  </w:style>
  <w:style w:type="paragraph" w:customStyle="1" w:styleId="ED5A44BC71CF47C1A6F9C83DBCAA41F5">
    <w:name w:val="ED5A44BC71CF47C1A6F9C83DBCAA41F5"/>
  </w:style>
  <w:style w:type="paragraph" w:customStyle="1" w:styleId="C077BBA76524438382EE557B291DA516">
    <w:name w:val="C077BBA76524438382EE557B291DA516"/>
    <w:rsid w:val="00B01E9F"/>
  </w:style>
  <w:style w:type="paragraph" w:customStyle="1" w:styleId="83EAC5B7B7A54DB5966CA7CB36589304">
    <w:name w:val="83EAC5B7B7A54DB5966CA7CB36589304"/>
    <w:rsid w:val="00B01E9F"/>
  </w:style>
  <w:style w:type="paragraph" w:customStyle="1" w:styleId="2D1D908348604B43AD597392DEBB276A">
    <w:name w:val="2D1D908348604B43AD597392DEBB276A"/>
    <w:rsid w:val="00B01E9F"/>
  </w:style>
  <w:style w:type="paragraph" w:customStyle="1" w:styleId="9F28B622004547558A40C3FA00E2A482">
    <w:name w:val="9F28B622004547558A40C3FA00E2A482"/>
    <w:rsid w:val="00B01E9F"/>
  </w:style>
  <w:style w:type="paragraph" w:customStyle="1" w:styleId="6EC6C65BA8EC4342B7CD4BFC7CB1EDCF">
    <w:name w:val="6EC6C65BA8EC4342B7CD4BFC7CB1EDCF"/>
    <w:rsid w:val="00B01E9F"/>
  </w:style>
  <w:style w:type="paragraph" w:customStyle="1" w:styleId="BD4332B9F59641C7BA4D08DAF3DBA8BA">
    <w:name w:val="BD4332B9F59641C7BA4D08DAF3DBA8BA"/>
    <w:rsid w:val="00B01E9F"/>
  </w:style>
  <w:style w:type="paragraph" w:customStyle="1" w:styleId="312F615A75C84087A7A5948FF59690E0">
    <w:name w:val="312F615A75C84087A7A5948FF59690E0"/>
    <w:rsid w:val="00B01E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2.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14E434-7F59-478F-9889-8C8438FFF984}">
  <ds:schemaRefs>
    <ds:schemaRef ds:uri="http://schemas.microsoft.com/office/infopath/2007/PartnerControls"/>
    <ds:schemaRef ds:uri="http://www.w3.org/XML/1998/namespace"/>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0CBD848E-1C1E-4976-9D40-EC194702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12739</Words>
  <Characters>72614</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85183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RTI</cp:lastModifiedBy>
  <cp:revision>3</cp:revision>
  <cp:lastPrinted>2016-05-20T14:03:00Z</cp:lastPrinted>
  <dcterms:created xsi:type="dcterms:W3CDTF">2016-06-22T17:09:00Z</dcterms:created>
  <dcterms:modified xsi:type="dcterms:W3CDTF">2016-06-22T17:21:00Z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1844367161</vt:i4>
  </property>
  <property fmtid="{D5CDD505-2E9C-101B-9397-08002B2CF9AE}" pid="3" name="_NewReviewCycle">
    <vt:lpwstr/>
  </property>
  <property fmtid="{D5CDD505-2E9C-101B-9397-08002B2CF9AE}" pid="4" name="_EmailSubject">
    <vt:lpwstr>Delivery of cross-setting (NQF 0680) and long stay NH (NQF 0681) NQF Evidence and Overall forms</vt:lpwstr>
  </property>
  <property fmtid="{D5CDD505-2E9C-101B-9397-08002B2CF9AE}" pid="5" name="_AuthorEmail">
    <vt:lpwstr>Alan.Levitt@cms.hhs.gov</vt:lpwstr>
  </property>
  <property fmtid="{D5CDD505-2E9C-101B-9397-08002B2CF9AE}" pid="6" name="_AuthorEmailDisplayName">
    <vt:lpwstr>Levitt, Alan F. (CMS/CCSQ)</vt:lpwstr>
  </property>
  <property fmtid="{D5CDD505-2E9C-101B-9397-08002B2CF9AE}" pid="7" name="_PreviousAdHocReviewCycleID">
    <vt:i4>52728730</vt:i4>
  </property>
  <property fmtid="{D5CDD505-2E9C-101B-9397-08002B2CF9AE}" pid="8" name="_ReviewingToolsShownOnce">
    <vt:lpwstr/>
  </property>
</Properties>
</file>